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10F6" w14:textId="211BE4F6" w:rsidR="00C01EDD" w:rsidRDefault="00697BE9">
      <w:pPr>
        <w:pStyle w:val="Heading2"/>
        <w:numPr>
          <w:ilvl w:val="0"/>
          <w:numId w:val="0"/>
        </w:numPr>
        <w:jc w:val="center"/>
        <w:rPr>
          <w:rFonts w:ascii="Times New Roman" w:hAnsi="Times New Roman"/>
          <w:smallCaps/>
          <w:szCs w:val="22"/>
        </w:rPr>
      </w:pPr>
      <w:bookmarkStart w:id="0" w:name="_Toc33780163"/>
      <w:r w:rsidRPr="00175269">
        <w:rPr>
          <w:rFonts w:ascii="Times New Roman" w:hAnsi="Times New Roman"/>
          <w:smallCaps/>
          <w:szCs w:val="22"/>
        </w:rPr>
        <w:t>Openbare instellingen voor collectieve belegging</w:t>
      </w:r>
      <w:r w:rsidR="00432554">
        <w:rPr>
          <w:rFonts w:ascii="Times New Roman" w:hAnsi="Times New Roman"/>
          <w:smallCaps/>
          <w:szCs w:val="22"/>
        </w:rPr>
        <w:t xml:space="preserve"> (ICB)</w:t>
      </w:r>
      <w:r w:rsidRPr="00175269">
        <w:rPr>
          <w:rFonts w:ascii="Times New Roman" w:hAnsi="Times New Roman"/>
          <w:smallCaps/>
          <w:szCs w:val="22"/>
        </w:rPr>
        <w:t xml:space="preserve"> met een veranderlijk aantal</w:t>
      </w:r>
      <w:r w:rsidR="00175269">
        <w:rPr>
          <w:rFonts w:ascii="Times New Roman" w:hAnsi="Times New Roman"/>
          <w:smallCaps/>
          <w:szCs w:val="22"/>
        </w:rPr>
        <w:t xml:space="preserve"> </w:t>
      </w:r>
      <w:r w:rsidRPr="00175269">
        <w:rPr>
          <w:rFonts w:ascii="Times New Roman" w:hAnsi="Times New Roman"/>
          <w:smallCaps/>
          <w:szCs w:val="22"/>
        </w:rPr>
        <w:t xml:space="preserve">rechten van deelneming </w:t>
      </w:r>
      <w:r w:rsidR="000F7A78" w:rsidRPr="00175269">
        <w:rPr>
          <w:rFonts w:ascii="Times New Roman" w:hAnsi="Times New Roman"/>
          <w:smallCaps/>
          <w:szCs w:val="22"/>
        </w:rPr>
        <w:t>–</w:t>
      </w:r>
      <w:r w:rsidRPr="00175269">
        <w:rPr>
          <w:rFonts w:ascii="Times New Roman" w:hAnsi="Times New Roman"/>
          <w:smallCaps/>
          <w:szCs w:val="22"/>
        </w:rPr>
        <w:t xml:space="preserve"> </w:t>
      </w:r>
      <w:r w:rsidR="000F7A78" w:rsidRPr="00175269">
        <w:rPr>
          <w:rFonts w:ascii="Times New Roman" w:hAnsi="Times New Roman"/>
          <w:smallCaps/>
          <w:szCs w:val="22"/>
        </w:rPr>
        <w:t>Ver</w:t>
      </w:r>
      <w:r w:rsidR="00C644A3">
        <w:rPr>
          <w:rFonts w:ascii="Times New Roman" w:hAnsi="Times New Roman"/>
          <w:smallCaps/>
          <w:szCs w:val="22"/>
        </w:rPr>
        <w:t>klaring</w:t>
      </w:r>
      <w:r w:rsidR="000F7A78" w:rsidRPr="00175269">
        <w:rPr>
          <w:rFonts w:ascii="Times New Roman" w:hAnsi="Times New Roman"/>
          <w:smallCaps/>
          <w:szCs w:val="22"/>
        </w:rPr>
        <w:t xml:space="preserve"> van de</w:t>
      </w:r>
      <w:r w:rsidR="00432554">
        <w:rPr>
          <w:rFonts w:ascii="Times New Roman" w:hAnsi="Times New Roman"/>
          <w:smallCaps/>
          <w:szCs w:val="22"/>
        </w:rPr>
        <w:t xml:space="preserve"> commissaris</w:t>
      </w:r>
      <w:r w:rsidR="000F7A78" w:rsidRPr="00175269">
        <w:rPr>
          <w:rFonts w:ascii="Times New Roman" w:hAnsi="Times New Roman"/>
          <w:smallCaps/>
          <w:szCs w:val="22"/>
        </w:rPr>
        <w:t xml:space="preserve"> </w:t>
      </w:r>
      <w:r w:rsidR="000760E1" w:rsidRPr="00175269">
        <w:rPr>
          <w:rFonts w:ascii="Times New Roman" w:hAnsi="Times New Roman"/>
          <w:smallCaps/>
          <w:szCs w:val="22"/>
        </w:rPr>
        <w:t>aan de FSMA</w:t>
      </w:r>
      <w:r w:rsidR="000F7A78" w:rsidRPr="00175269">
        <w:rPr>
          <w:rFonts w:ascii="Times New Roman" w:hAnsi="Times New Roman"/>
          <w:smallCaps/>
          <w:szCs w:val="22"/>
        </w:rPr>
        <w:t xml:space="preserve"> over</w:t>
      </w:r>
      <w:r w:rsidR="00E80257" w:rsidRPr="00175269">
        <w:rPr>
          <w:rFonts w:ascii="Times New Roman" w:hAnsi="Times New Roman"/>
          <w:smallCaps/>
          <w:szCs w:val="22"/>
        </w:rPr>
        <w:t xml:space="preserve"> de statisti</w:t>
      </w:r>
      <w:r w:rsidR="000F7A78" w:rsidRPr="00175269">
        <w:rPr>
          <w:rFonts w:ascii="Times New Roman" w:hAnsi="Times New Roman"/>
          <w:smallCaps/>
          <w:szCs w:val="22"/>
        </w:rPr>
        <w:t>sche staten</w:t>
      </w:r>
      <w:r w:rsidR="00E80257" w:rsidRPr="00175269">
        <w:rPr>
          <w:rFonts w:ascii="Times New Roman" w:hAnsi="Times New Roman"/>
          <w:smallCaps/>
          <w:szCs w:val="22"/>
        </w:rPr>
        <w:t xml:space="preserve"> per einde boekjaar</w:t>
      </w:r>
    </w:p>
    <w:p w14:paraId="13B64E96" w14:textId="70DFFAA2" w:rsidR="00E80257" w:rsidRPr="00175269" w:rsidRDefault="00697BE9" w:rsidP="00082474">
      <w:pPr>
        <w:pStyle w:val="Heading2"/>
        <w:numPr>
          <w:ilvl w:val="0"/>
          <w:numId w:val="0"/>
        </w:numPr>
        <w:ind w:left="576" w:hanging="576"/>
        <w:jc w:val="center"/>
        <w:rPr>
          <w:rFonts w:ascii="Times New Roman" w:hAnsi="Times New Roman"/>
          <w:smallCaps/>
          <w:szCs w:val="22"/>
        </w:rPr>
      </w:pPr>
      <w:r w:rsidRPr="00175269">
        <w:rPr>
          <w:rFonts w:ascii="Times New Roman" w:hAnsi="Times New Roman"/>
          <w:smallCaps/>
          <w:szCs w:val="22"/>
        </w:rPr>
        <w:t>[</w:t>
      </w:r>
      <w:r w:rsidR="00E80257" w:rsidRPr="00175269">
        <w:rPr>
          <w:rFonts w:ascii="Times New Roman" w:hAnsi="Times New Roman"/>
          <w:i/>
          <w:iCs/>
          <w:smallCaps/>
          <w:szCs w:val="22"/>
        </w:rPr>
        <w:t>of per einde trimester</w:t>
      </w:r>
      <w:bookmarkEnd w:id="0"/>
      <w:r w:rsidRPr="00175269">
        <w:rPr>
          <w:rFonts w:ascii="Times New Roman" w:hAnsi="Times New Roman"/>
          <w:i/>
          <w:iCs/>
          <w:smallCaps/>
          <w:szCs w:val="22"/>
        </w:rPr>
        <w:t>, naar gelang</w:t>
      </w:r>
      <w:r w:rsidRPr="00175269">
        <w:rPr>
          <w:rFonts w:ascii="Times New Roman" w:hAnsi="Times New Roman"/>
          <w:smallCaps/>
          <w:szCs w:val="22"/>
        </w:rPr>
        <w:t>]</w:t>
      </w:r>
    </w:p>
    <w:p w14:paraId="53F196B3" w14:textId="77777777" w:rsidR="00E80257" w:rsidRDefault="00E80257" w:rsidP="00AF0530">
      <w:pPr>
        <w:jc w:val="both"/>
        <w:rPr>
          <w:b/>
          <w:i/>
          <w:szCs w:val="22"/>
          <w:lang w:val="nl-BE"/>
        </w:rPr>
      </w:pPr>
    </w:p>
    <w:p w14:paraId="762F326E" w14:textId="33A9BCF5" w:rsidR="004564CE" w:rsidRDefault="00E80257" w:rsidP="00AF0530">
      <w:pPr>
        <w:jc w:val="both"/>
        <w:rPr>
          <w:bCs/>
          <w:iCs/>
          <w:szCs w:val="22"/>
          <w:lang w:val="nl-BE"/>
        </w:rPr>
      </w:pPr>
      <w:r w:rsidRPr="00697BE9">
        <w:rPr>
          <w:bCs/>
          <w:iCs/>
          <w:szCs w:val="22"/>
          <w:lang w:val="nl-BE"/>
        </w:rPr>
        <w:t>In het kader van de uitvoering van de medewerking</w:t>
      </w:r>
      <w:r w:rsidR="00697BE9" w:rsidRPr="00697BE9">
        <w:rPr>
          <w:bCs/>
          <w:iCs/>
          <w:szCs w:val="22"/>
          <w:lang w:val="nl-BE"/>
        </w:rPr>
        <w:t>s</w:t>
      </w:r>
      <w:r w:rsidRPr="00697BE9">
        <w:rPr>
          <w:bCs/>
          <w:iCs/>
          <w:szCs w:val="22"/>
          <w:lang w:val="nl-BE"/>
        </w:rPr>
        <w:t>opdracht van de erkende revisoren aan het prudentieel toezicht van de FSMA</w:t>
      </w:r>
      <w:r w:rsidR="00425EA5">
        <w:rPr>
          <w:bCs/>
          <w:iCs/>
          <w:szCs w:val="22"/>
          <w:lang w:val="nl-BE"/>
        </w:rPr>
        <w:t xml:space="preserve"> voor instellingen van collectieve</w:t>
      </w:r>
      <w:r w:rsidR="008A1809">
        <w:rPr>
          <w:bCs/>
          <w:iCs/>
          <w:szCs w:val="22"/>
          <w:lang w:val="nl-BE"/>
        </w:rPr>
        <w:t xml:space="preserve"> belegging</w:t>
      </w:r>
      <w:r w:rsidR="00965AED">
        <w:rPr>
          <w:bCs/>
          <w:iCs/>
          <w:szCs w:val="22"/>
          <w:lang w:val="nl-BE"/>
        </w:rPr>
        <w:t xml:space="preserve"> (ICB)</w:t>
      </w:r>
      <w:r w:rsidRPr="00697BE9">
        <w:rPr>
          <w:bCs/>
          <w:iCs/>
          <w:szCs w:val="22"/>
          <w:lang w:val="nl-BE"/>
        </w:rPr>
        <w:t xml:space="preserve"> hebben wij </w:t>
      </w:r>
      <w:r w:rsidR="002E0DB1">
        <w:rPr>
          <w:bCs/>
          <w:iCs/>
          <w:szCs w:val="22"/>
          <w:lang w:val="nl-BE"/>
        </w:rPr>
        <w:t>de eer</w:t>
      </w:r>
      <w:r w:rsidR="00BD3771">
        <w:rPr>
          <w:bCs/>
          <w:iCs/>
          <w:szCs w:val="22"/>
          <w:lang w:val="nl-BE"/>
        </w:rPr>
        <w:t xml:space="preserve"> </w:t>
      </w:r>
      <w:r w:rsidRPr="00697BE9">
        <w:rPr>
          <w:bCs/>
          <w:iCs/>
          <w:szCs w:val="22"/>
          <w:lang w:val="nl-BE"/>
        </w:rPr>
        <w:t>verslag</w:t>
      </w:r>
      <w:r w:rsidR="00BD3771">
        <w:rPr>
          <w:bCs/>
          <w:iCs/>
          <w:szCs w:val="22"/>
          <w:lang w:val="nl-BE"/>
        </w:rPr>
        <w:t xml:space="preserve"> uit te brengen over de</w:t>
      </w:r>
      <w:r w:rsidR="00A206DA">
        <w:rPr>
          <w:bCs/>
          <w:iCs/>
          <w:szCs w:val="22"/>
          <w:lang w:val="nl-BE"/>
        </w:rPr>
        <w:t xml:space="preserve"> </w:t>
      </w:r>
      <w:r w:rsidR="00F9406E">
        <w:rPr>
          <w:bCs/>
          <w:iCs/>
          <w:szCs w:val="22"/>
          <w:lang w:val="nl-BE"/>
        </w:rPr>
        <w:t>periodieke</w:t>
      </w:r>
      <w:r w:rsidR="00A206DA">
        <w:rPr>
          <w:bCs/>
          <w:iCs/>
          <w:szCs w:val="22"/>
          <w:lang w:val="nl-BE"/>
        </w:rPr>
        <w:t xml:space="preserve"> staten van</w:t>
      </w:r>
      <w:r w:rsidR="00965AED">
        <w:rPr>
          <w:bCs/>
          <w:iCs/>
          <w:szCs w:val="22"/>
          <w:lang w:val="nl-BE"/>
        </w:rPr>
        <w:t xml:space="preserve"> </w:t>
      </w:r>
      <w:r w:rsidR="00A206DA" w:rsidRPr="00E335AF">
        <w:rPr>
          <w:bCs/>
          <w:i/>
          <w:szCs w:val="22"/>
          <w:lang w:val="nl-BE"/>
        </w:rPr>
        <w:t>[i</w:t>
      </w:r>
      <w:r w:rsidR="00A206DA" w:rsidRPr="00082474">
        <w:rPr>
          <w:bCs/>
          <w:i/>
          <w:szCs w:val="22"/>
          <w:lang w:val="nl-BE"/>
        </w:rPr>
        <w:t>dentificatie van de instelling</w:t>
      </w:r>
      <w:r w:rsidR="00A206DA" w:rsidRPr="00E335AF">
        <w:rPr>
          <w:bCs/>
          <w:i/>
          <w:szCs w:val="22"/>
          <w:lang w:val="nl-BE"/>
        </w:rPr>
        <w:t>]</w:t>
      </w:r>
      <w:r w:rsidRPr="00697BE9">
        <w:rPr>
          <w:bCs/>
          <w:iCs/>
          <w:szCs w:val="22"/>
          <w:lang w:val="nl-BE"/>
        </w:rPr>
        <w:t xml:space="preserve"> </w:t>
      </w:r>
      <w:r w:rsidR="00965AED">
        <w:rPr>
          <w:bCs/>
          <w:iCs/>
          <w:szCs w:val="22"/>
          <w:lang w:val="nl-BE"/>
        </w:rPr>
        <w:t xml:space="preserve">voor </w:t>
      </w:r>
      <w:r w:rsidR="00BD283C" w:rsidRPr="00BD283C">
        <w:rPr>
          <w:bCs/>
          <w:i/>
          <w:szCs w:val="22"/>
          <w:lang w:val="nl-BE"/>
        </w:rPr>
        <w:t>[</w:t>
      </w:r>
      <w:r w:rsidR="00BD283C">
        <w:rPr>
          <w:bCs/>
          <w:i/>
          <w:szCs w:val="22"/>
          <w:lang w:val="nl-BE"/>
        </w:rPr>
        <w:t>“</w:t>
      </w:r>
      <w:r w:rsidR="00965AED" w:rsidRPr="00BD283C">
        <w:rPr>
          <w:bCs/>
          <w:i/>
          <w:szCs w:val="22"/>
          <w:lang w:val="nl-BE"/>
        </w:rPr>
        <w:t>het boekjaar</w:t>
      </w:r>
      <w:r w:rsidR="00BD283C">
        <w:rPr>
          <w:bCs/>
          <w:i/>
          <w:szCs w:val="22"/>
          <w:lang w:val="nl-BE"/>
        </w:rPr>
        <w:t>”</w:t>
      </w:r>
      <w:r w:rsidR="00965AED" w:rsidRPr="00BD283C">
        <w:rPr>
          <w:bCs/>
          <w:i/>
          <w:szCs w:val="22"/>
          <w:lang w:val="nl-BE"/>
        </w:rPr>
        <w:t xml:space="preserve"> </w:t>
      </w:r>
      <w:r w:rsidR="00BD283C" w:rsidRPr="00BD283C">
        <w:rPr>
          <w:bCs/>
          <w:i/>
          <w:szCs w:val="22"/>
          <w:lang w:val="nl-BE"/>
        </w:rPr>
        <w:t xml:space="preserve">of </w:t>
      </w:r>
      <w:r w:rsidR="00BD283C">
        <w:rPr>
          <w:bCs/>
          <w:i/>
          <w:szCs w:val="22"/>
          <w:lang w:val="nl-BE"/>
        </w:rPr>
        <w:t>“</w:t>
      </w:r>
      <w:r w:rsidR="00BD283C" w:rsidRPr="00BD283C">
        <w:rPr>
          <w:bCs/>
          <w:i/>
          <w:szCs w:val="22"/>
          <w:lang w:val="nl-BE"/>
        </w:rPr>
        <w:t>het trimester</w:t>
      </w:r>
      <w:r w:rsidR="00BD283C">
        <w:rPr>
          <w:bCs/>
          <w:i/>
          <w:szCs w:val="22"/>
          <w:lang w:val="nl-BE"/>
        </w:rPr>
        <w:t>”</w:t>
      </w:r>
      <w:r w:rsidR="00BD283C" w:rsidRPr="00BD283C">
        <w:rPr>
          <w:bCs/>
          <w:i/>
          <w:szCs w:val="22"/>
          <w:lang w:val="nl-BE"/>
        </w:rPr>
        <w:t>, naargelang]</w:t>
      </w:r>
      <w:r w:rsidR="00BD283C">
        <w:rPr>
          <w:bCs/>
          <w:iCs/>
          <w:szCs w:val="22"/>
          <w:lang w:val="nl-BE"/>
        </w:rPr>
        <w:t xml:space="preserve"> </w:t>
      </w:r>
      <w:r w:rsidR="00965AED">
        <w:rPr>
          <w:bCs/>
          <w:iCs/>
          <w:szCs w:val="22"/>
          <w:lang w:val="nl-BE"/>
        </w:rPr>
        <w:t xml:space="preserve">afgesloten </w:t>
      </w:r>
      <w:r w:rsidRPr="00697BE9">
        <w:rPr>
          <w:bCs/>
          <w:iCs/>
          <w:szCs w:val="22"/>
          <w:lang w:val="nl-BE"/>
        </w:rPr>
        <w:t xml:space="preserve">op </w:t>
      </w:r>
      <w:r w:rsidRPr="00BD283C">
        <w:rPr>
          <w:bCs/>
          <w:i/>
          <w:szCs w:val="22"/>
          <w:lang w:val="nl-BE"/>
        </w:rPr>
        <w:t>[DD/MM/JJJJ]</w:t>
      </w:r>
      <w:r w:rsidR="00A206DA">
        <w:rPr>
          <w:bCs/>
          <w:iCs/>
          <w:szCs w:val="22"/>
          <w:lang w:val="nl-BE"/>
        </w:rPr>
        <w:t>.</w:t>
      </w:r>
    </w:p>
    <w:p w14:paraId="345DF6C5" w14:textId="77777777" w:rsidR="00B25B4C" w:rsidRDefault="00B25B4C" w:rsidP="00B25B4C">
      <w:pPr>
        <w:jc w:val="both"/>
        <w:rPr>
          <w:b/>
          <w:i/>
          <w:szCs w:val="22"/>
          <w:lang w:val="nl-BE"/>
        </w:rPr>
      </w:pPr>
    </w:p>
    <w:p w14:paraId="481AFE41" w14:textId="61911758" w:rsidR="00B25B4C" w:rsidRPr="00E335AF" w:rsidRDefault="00B25B4C" w:rsidP="004D656C">
      <w:pPr>
        <w:pStyle w:val="ListParagraph"/>
        <w:numPr>
          <w:ilvl w:val="0"/>
          <w:numId w:val="9"/>
        </w:numPr>
        <w:ind w:left="284" w:hanging="284"/>
        <w:jc w:val="both"/>
        <w:rPr>
          <w:b/>
          <w:iCs/>
          <w:szCs w:val="22"/>
          <w:lang w:val="nl-BE"/>
        </w:rPr>
      </w:pPr>
      <w:r w:rsidRPr="00E335AF">
        <w:rPr>
          <w:b/>
          <w:iCs/>
          <w:szCs w:val="22"/>
          <w:lang w:val="nl-BE"/>
        </w:rPr>
        <w:t>Identificatie van de instelling van collectieve belegging en haar compartimenten</w:t>
      </w:r>
    </w:p>
    <w:p w14:paraId="4E98D97B" w14:textId="77777777" w:rsidR="00B25B4C" w:rsidRDefault="00B25B4C" w:rsidP="00B25B4C">
      <w:pPr>
        <w:jc w:val="both"/>
        <w:rPr>
          <w:b/>
          <w:i/>
          <w:szCs w:val="22"/>
          <w:lang w:val="nl-BE"/>
        </w:rPr>
      </w:pPr>
    </w:p>
    <w:p w14:paraId="58DC23AA" w14:textId="77777777" w:rsidR="00B25B4C" w:rsidRPr="0032351D" w:rsidRDefault="00B25B4C" w:rsidP="00B25B4C">
      <w:pPr>
        <w:jc w:val="both"/>
        <w:rPr>
          <w:szCs w:val="22"/>
          <w:lang w:val="nl-BE"/>
        </w:rPr>
      </w:pPr>
      <w:r w:rsidRPr="0032351D">
        <w:rPr>
          <w:szCs w:val="22"/>
          <w:lang w:val="nl-BE"/>
        </w:rPr>
        <w:t>Naam van de instelling van collectieve belegging:</w:t>
      </w:r>
    </w:p>
    <w:p w14:paraId="105124C0" w14:textId="77777777" w:rsidR="00B25B4C" w:rsidRPr="0032351D" w:rsidRDefault="00B25B4C" w:rsidP="00B25B4C">
      <w:pPr>
        <w:jc w:val="both"/>
        <w:rPr>
          <w:szCs w:val="22"/>
          <w:lang w:val="nl-B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5B4C" w:rsidRPr="00E212DC" w14:paraId="356E2FD8" w14:textId="77777777" w:rsidTr="008A1809">
        <w:tc>
          <w:tcPr>
            <w:tcW w:w="9356" w:type="dxa"/>
          </w:tcPr>
          <w:p w14:paraId="13FB941F" w14:textId="77777777" w:rsidR="00B25B4C" w:rsidRPr="0032351D" w:rsidRDefault="00B25B4C" w:rsidP="00642A6B">
            <w:pPr>
              <w:jc w:val="both"/>
              <w:rPr>
                <w:szCs w:val="22"/>
                <w:lang w:val="nl-BE"/>
              </w:rPr>
            </w:pPr>
          </w:p>
        </w:tc>
      </w:tr>
    </w:tbl>
    <w:p w14:paraId="5F2E4F5A" w14:textId="77777777" w:rsidR="00B25B4C" w:rsidRPr="0032351D" w:rsidRDefault="00B25B4C" w:rsidP="00B25B4C">
      <w:pPr>
        <w:jc w:val="both"/>
        <w:rPr>
          <w:szCs w:val="22"/>
          <w:lang w:val="nl-BE"/>
        </w:rPr>
      </w:pPr>
    </w:p>
    <w:p w14:paraId="0EA72064" w14:textId="77777777" w:rsidR="00B25B4C" w:rsidRPr="0032351D" w:rsidRDefault="00B25B4C" w:rsidP="00B25B4C">
      <w:pPr>
        <w:jc w:val="both"/>
        <w:rPr>
          <w:szCs w:val="22"/>
          <w:lang w:val="nl-BE"/>
        </w:rPr>
      </w:pPr>
      <w:r w:rsidRPr="0032351D">
        <w:rPr>
          <w:szCs w:val="22"/>
          <w:lang w:val="nl-BE"/>
        </w:rPr>
        <w:t>Identificatie van de compartimenten:</w:t>
      </w:r>
    </w:p>
    <w:p w14:paraId="3C9256FF" w14:textId="77777777" w:rsidR="00B25B4C" w:rsidRPr="0032351D" w:rsidRDefault="00B25B4C" w:rsidP="00B25B4C">
      <w:pPr>
        <w:jc w:val="both"/>
        <w:rPr>
          <w:szCs w:val="22"/>
          <w:lang w:val="nl-BE"/>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B25B4C" w:rsidRPr="0032351D" w14:paraId="365E33D3" w14:textId="77777777" w:rsidTr="00642A6B">
        <w:tc>
          <w:tcPr>
            <w:tcW w:w="953" w:type="dxa"/>
          </w:tcPr>
          <w:p w14:paraId="55205717" w14:textId="77777777" w:rsidR="00B25B4C" w:rsidRPr="0032351D" w:rsidRDefault="00B25B4C" w:rsidP="00642A6B">
            <w:pPr>
              <w:jc w:val="both"/>
              <w:rPr>
                <w:szCs w:val="22"/>
                <w:lang w:val="nl-BE"/>
              </w:rPr>
            </w:pPr>
            <w:r w:rsidRPr="0032351D">
              <w:rPr>
                <w:szCs w:val="22"/>
                <w:lang w:val="nl-BE"/>
              </w:rPr>
              <w:t xml:space="preserve">Naam </w:t>
            </w:r>
          </w:p>
        </w:tc>
        <w:tc>
          <w:tcPr>
            <w:tcW w:w="922" w:type="dxa"/>
          </w:tcPr>
          <w:p w14:paraId="54BA011E" w14:textId="77777777" w:rsidR="00B25B4C" w:rsidRPr="0032351D" w:rsidRDefault="00B25B4C" w:rsidP="00642A6B">
            <w:pPr>
              <w:jc w:val="both"/>
              <w:rPr>
                <w:szCs w:val="22"/>
                <w:lang w:val="nl-BE"/>
              </w:rPr>
            </w:pPr>
            <w:r w:rsidRPr="0032351D">
              <w:rPr>
                <w:szCs w:val="22"/>
                <w:lang w:val="nl-BE"/>
              </w:rPr>
              <w:t xml:space="preserve">Code </w:t>
            </w:r>
          </w:p>
          <w:p w14:paraId="7EC9CE16" w14:textId="77777777" w:rsidR="00B25B4C" w:rsidRPr="0032351D" w:rsidRDefault="00B25B4C" w:rsidP="00642A6B">
            <w:pPr>
              <w:jc w:val="both"/>
              <w:rPr>
                <w:szCs w:val="22"/>
                <w:vertAlign w:val="superscript"/>
                <w:lang w:val="nl-BE"/>
              </w:rPr>
            </w:pPr>
          </w:p>
        </w:tc>
        <w:tc>
          <w:tcPr>
            <w:tcW w:w="1219" w:type="dxa"/>
          </w:tcPr>
          <w:p w14:paraId="1EF41B4E" w14:textId="77777777" w:rsidR="00B25B4C" w:rsidRPr="0032351D" w:rsidRDefault="00B25B4C" w:rsidP="00642A6B">
            <w:pPr>
              <w:jc w:val="both"/>
              <w:rPr>
                <w:szCs w:val="22"/>
                <w:lang w:val="nl-BE"/>
              </w:rPr>
            </w:pPr>
            <w:r w:rsidRPr="0032351D">
              <w:rPr>
                <w:szCs w:val="22"/>
                <w:lang w:val="nl-BE"/>
              </w:rPr>
              <w:t>STAVER</w:t>
            </w:r>
          </w:p>
        </w:tc>
        <w:tc>
          <w:tcPr>
            <w:tcW w:w="1204" w:type="dxa"/>
          </w:tcPr>
          <w:p w14:paraId="15C835D0" w14:textId="77777777" w:rsidR="00B25B4C" w:rsidRPr="0032351D" w:rsidRDefault="00B25B4C" w:rsidP="00642A6B">
            <w:pPr>
              <w:jc w:val="both"/>
              <w:rPr>
                <w:szCs w:val="22"/>
                <w:lang w:val="nl-BE"/>
              </w:rPr>
            </w:pPr>
            <w:r w:rsidRPr="0032351D">
              <w:rPr>
                <w:szCs w:val="22"/>
                <w:lang w:val="nl-BE"/>
              </w:rPr>
              <w:t>DELDAT</w:t>
            </w:r>
          </w:p>
        </w:tc>
        <w:tc>
          <w:tcPr>
            <w:tcW w:w="1011" w:type="dxa"/>
          </w:tcPr>
          <w:p w14:paraId="3CC52210" w14:textId="77777777" w:rsidR="00B25B4C" w:rsidRPr="0032351D" w:rsidRDefault="00B25B4C" w:rsidP="00642A6B">
            <w:pPr>
              <w:jc w:val="both"/>
              <w:rPr>
                <w:szCs w:val="22"/>
                <w:lang w:val="nl-BE"/>
              </w:rPr>
            </w:pPr>
            <w:r w:rsidRPr="0032351D">
              <w:rPr>
                <w:szCs w:val="22"/>
                <w:lang w:val="nl-BE"/>
              </w:rPr>
              <w:t>Devies</w:t>
            </w:r>
          </w:p>
        </w:tc>
        <w:tc>
          <w:tcPr>
            <w:tcW w:w="960" w:type="dxa"/>
          </w:tcPr>
          <w:p w14:paraId="71B88DCF" w14:textId="77777777" w:rsidR="00B25B4C" w:rsidRPr="0032351D" w:rsidRDefault="00B25B4C" w:rsidP="00642A6B">
            <w:pPr>
              <w:jc w:val="both"/>
              <w:rPr>
                <w:szCs w:val="22"/>
                <w:lang w:val="nl-BE"/>
              </w:rPr>
            </w:pPr>
            <w:r w:rsidRPr="0032351D">
              <w:rPr>
                <w:szCs w:val="22"/>
                <w:lang w:val="nl-BE"/>
              </w:rPr>
              <w:t>Netto-actief</w:t>
            </w:r>
          </w:p>
        </w:tc>
        <w:tc>
          <w:tcPr>
            <w:tcW w:w="1680" w:type="dxa"/>
          </w:tcPr>
          <w:p w14:paraId="502541C6" w14:textId="77777777" w:rsidR="00B25B4C" w:rsidRPr="0032351D" w:rsidRDefault="00B25B4C" w:rsidP="00642A6B">
            <w:pPr>
              <w:jc w:val="both"/>
              <w:rPr>
                <w:szCs w:val="22"/>
                <w:lang w:val="nl-BE"/>
              </w:rPr>
            </w:pPr>
            <w:r w:rsidRPr="0032351D">
              <w:rPr>
                <w:szCs w:val="22"/>
                <w:lang w:val="nl-BE"/>
              </w:rPr>
              <w:t>Inschrijvingen</w:t>
            </w:r>
            <w:r w:rsidRPr="0032351D">
              <w:rPr>
                <w:rStyle w:val="FootnoteReference"/>
                <w:szCs w:val="22"/>
                <w:lang w:val="nl-BE"/>
              </w:rPr>
              <w:footnoteReference w:id="1"/>
            </w:r>
          </w:p>
        </w:tc>
        <w:tc>
          <w:tcPr>
            <w:tcW w:w="1391" w:type="dxa"/>
          </w:tcPr>
          <w:p w14:paraId="40592145" w14:textId="77777777" w:rsidR="00B25B4C" w:rsidRPr="0032351D" w:rsidRDefault="00B25B4C" w:rsidP="00642A6B">
            <w:pPr>
              <w:jc w:val="both"/>
              <w:rPr>
                <w:szCs w:val="22"/>
                <w:lang w:val="nl-BE"/>
              </w:rPr>
            </w:pPr>
            <w:r w:rsidRPr="0032351D">
              <w:rPr>
                <w:szCs w:val="22"/>
                <w:lang w:val="nl-BE"/>
              </w:rPr>
              <w:t>Resultaten</w:t>
            </w:r>
          </w:p>
        </w:tc>
      </w:tr>
      <w:tr w:rsidR="00B25B4C" w:rsidRPr="0032351D" w14:paraId="45289884" w14:textId="77777777" w:rsidTr="00642A6B">
        <w:tc>
          <w:tcPr>
            <w:tcW w:w="953" w:type="dxa"/>
          </w:tcPr>
          <w:p w14:paraId="56F704BC" w14:textId="77777777" w:rsidR="00B25B4C" w:rsidRPr="0032351D" w:rsidRDefault="00B25B4C" w:rsidP="00642A6B">
            <w:pPr>
              <w:jc w:val="both"/>
              <w:rPr>
                <w:szCs w:val="22"/>
                <w:lang w:val="nl-BE"/>
              </w:rPr>
            </w:pPr>
          </w:p>
        </w:tc>
        <w:tc>
          <w:tcPr>
            <w:tcW w:w="922" w:type="dxa"/>
          </w:tcPr>
          <w:p w14:paraId="5D7D8D64" w14:textId="77777777" w:rsidR="00B25B4C" w:rsidRPr="0032351D" w:rsidRDefault="00B25B4C" w:rsidP="00642A6B">
            <w:pPr>
              <w:jc w:val="both"/>
              <w:rPr>
                <w:szCs w:val="22"/>
                <w:lang w:val="nl-BE"/>
              </w:rPr>
            </w:pPr>
          </w:p>
        </w:tc>
        <w:tc>
          <w:tcPr>
            <w:tcW w:w="1219" w:type="dxa"/>
          </w:tcPr>
          <w:p w14:paraId="34A62127" w14:textId="77777777" w:rsidR="00B25B4C" w:rsidRPr="0032351D" w:rsidRDefault="00B25B4C" w:rsidP="00642A6B">
            <w:pPr>
              <w:jc w:val="both"/>
              <w:rPr>
                <w:szCs w:val="22"/>
                <w:lang w:val="nl-BE"/>
              </w:rPr>
            </w:pPr>
          </w:p>
        </w:tc>
        <w:tc>
          <w:tcPr>
            <w:tcW w:w="1204" w:type="dxa"/>
          </w:tcPr>
          <w:p w14:paraId="64529741" w14:textId="77777777" w:rsidR="00B25B4C" w:rsidRPr="0032351D" w:rsidRDefault="00B25B4C" w:rsidP="00642A6B">
            <w:pPr>
              <w:jc w:val="both"/>
              <w:rPr>
                <w:szCs w:val="22"/>
                <w:lang w:val="nl-BE"/>
              </w:rPr>
            </w:pPr>
          </w:p>
        </w:tc>
        <w:tc>
          <w:tcPr>
            <w:tcW w:w="1011" w:type="dxa"/>
          </w:tcPr>
          <w:p w14:paraId="4F817A65" w14:textId="77777777" w:rsidR="00B25B4C" w:rsidRPr="0032351D" w:rsidRDefault="00B25B4C" w:rsidP="00642A6B">
            <w:pPr>
              <w:jc w:val="both"/>
              <w:rPr>
                <w:szCs w:val="22"/>
                <w:lang w:val="nl-BE"/>
              </w:rPr>
            </w:pPr>
          </w:p>
        </w:tc>
        <w:tc>
          <w:tcPr>
            <w:tcW w:w="960" w:type="dxa"/>
          </w:tcPr>
          <w:p w14:paraId="3541501B" w14:textId="77777777" w:rsidR="00B25B4C" w:rsidRPr="0032351D" w:rsidRDefault="00B25B4C" w:rsidP="00642A6B">
            <w:pPr>
              <w:jc w:val="both"/>
              <w:rPr>
                <w:szCs w:val="22"/>
                <w:lang w:val="nl-BE"/>
              </w:rPr>
            </w:pPr>
          </w:p>
        </w:tc>
        <w:tc>
          <w:tcPr>
            <w:tcW w:w="1680" w:type="dxa"/>
          </w:tcPr>
          <w:p w14:paraId="25AAE65D" w14:textId="77777777" w:rsidR="00B25B4C" w:rsidRPr="0032351D" w:rsidRDefault="00B25B4C" w:rsidP="00642A6B">
            <w:pPr>
              <w:jc w:val="both"/>
              <w:rPr>
                <w:szCs w:val="22"/>
                <w:lang w:val="nl-BE"/>
              </w:rPr>
            </w:pPr>
          </w:p>
        </w:tc>
        <w:tc>
          <w:tcPr>
            <w:tcW w:w="1391" w:type="dxa"/>
          </w:tcPr>
          <w:p w14:paraId="28544D5C" w14:textId="77777777" w:rsidR="00B25B4C" w:rsidRPr="0032351D" w:rsidRDefault="00B25B4C" w:rsidP="00642A6B">
            <w:pPr>
              <w:jc w:val="both"/>
              <w:rPr>
                <w:szCs w:val="22"/>
                <w:lang w:val="nl-BE"/>
              </w:rPr>
            </w:pPr>
          </w:p>
        </w:tc>
      </w:tr>
    </w:tbl>
    <w:p w14:paraId="0BAEAB43" w14:textId="77777777" w:rsidR="004564CE" w:rsidRDefault="004564CE" w:rsidP="00AF0530">
      <w:pPr>
        <w:jc w:val="both"/>
        <w:rPr>
          <w:bCs/>
          <w:iCs/>
          <w:szCs w:val="22"/>
          <w:lang w:val="nl-BE"/>
        </w:rPr>
      </w:pPr>
    </w:p>
    <w:p w14:paraId="46ECE236" w14:textId="472DFFDB" w:rsidR="00E80257" w:rsidRPr="004564CE" w:rsidRDefault="007C033F" w:rsidP="00AF0530">
      <w:pPr>
        <w:jc w:val="both"/>
        <w:rPr>
          <w:bCs/>
          <w:iCs/>
          <w:szCs w:val="22"/>
          <w:lang w:val="nl-BE"/>
        </w:rPr>
      </w:pPr>
      <w:r>
        <w:rPr>
          <w:bCs/>
          <w:iCs/>
          <w:szCs w:val="22"/>
          <w:lang w:val="nl-BE"/>
        </w:rPr>
        <w:t>Het huidig</w:t>
      </w:r>
      <w:r w:rsidR="00E80257" w:rsidRPr="00697BE9">
        <w:rPr>
          <w:bCs/>
          <w:iCs/>
          <w:szCs w:val="22"/>
          <w:lang w:val="nl-BE"/>
        </w:rPr>
        <w:t xml:space="preserve"> verslag</w:t>
      </w:r>
      <w:r w:rsidR="00697BE9" w:rsidRPr="00697BE9">
        <w:rPr>
          <w:bCs/>
          <w:iCs/>
          <w:szCs w:val="22"/>
          <w:lang w:val="nl-BE"/>
        </w:rPr>
        <w:t xml:space="preserve"> van de </w:t>
      </w:r>
      <w:r w:rsidR="00697BE9" w:rsidRPr="003A1C8F">
        <w:rPr>
          <w:bCs/>
          <w:iCs/>
          <w:szCs w:val="22"/>
          <w:lang w:val="nl-BE"/>
        </w:rPr>
        <w:t>commissaris</w:t>
      </w:r>
      <w:r w:rsidR="00697BE9" w:rsidRPr="00697BE9">
        <w:rPr>
          <w:bCs/>
          <w:iCs/>
          <w:szCs w:val="22"/>
          <w:lang w:val="nl-BE"/>
        </w:rPr>
        <w:t xml:space="preserve"> aan de FSMA</w:t>
      </w:r>
      <w:r w:rsidR="00E80257" w:rsidRPr="00697BE9">
        <w:rPr>
          <w:bCs/>
          <w:iCs/>
          <w:szCs w:val="22"/>
          <w:lang w:val="nl-BE"/>
        </w:rPr>
        <w:t xml:space="preserve"> </w:t>
      </w:r>
      <w:r w:rsidR="00697BE9" w:rsidRPr="00697BE9">
        <w:rPr>
          <w:bCs/>
          <w:iCs/>
          <w:szCs w:val="22"/>
          <w:lang w:val="nl-BE"/>
        </w:rPr>
        <w:t>wordt opgesteld overeenkomstig artikel 106, § 1, eerste lid, 2° b), (ii) van de wet van 3 augustus 2012</w:t>
      </w:r>
      <w:r w:rsidR="000F7A78">
        <w:rPr>
          <w:bCs/>
          <w:iCs/>
          <w:szCs w:val="22"/>
          <w:lang w:val="nl-BE"/>
        </w:rPr>
        <w:t xml:space="preserve"> betreffende de instellingen voor collectieve belegging die voldoen aan de voorwaarden van richtlijn 2009/65/EG en de instellingen voor belegging in schuldvorderingen (hierna “de wet”)</w:t>
      </w:r>
      <w:r w:rsidR="00697BE9" w:rsidRPr="00697BE9">
        <w:rPr>
          <w:bCs/>
          <w:iCs/>
          <w:szCs w:val="22"/>
          <w:lang w:val="nl-BE"/>
        </w:rPr>
        <w:t xml:space="preserve"> over de </w:t>
      </w:r>
      <w:r w:rsidR="00F9406E">
        <w:rPr>
          <w:bCs/>
          <w:iCs/>
          <w:szCs w:val="22"/>
          <w:lang w:val="nl-BE"/>
        </w:rPr>
        <w:t>periodieke</w:t>
      </w:r>
      <w:r w:rsidR="00D15C8F">
        <w:rPr>
          <w:bCs/>
          <w:iCs/>
          <w:szCs w:val="22"/>
          <w:lang w:val="nl-BE"/>
        </w:rPr>
        <w:t xml:space="preserve"> staten</w:t>
      </w:r>
      <w:r w:rsidR="00697BE9" w:rsidRPr="00D32100">
        <w:rPr>
          <w:bCs/>
          <w:iCs/>
          <w:szCs w:val="22"/>
          <w:lang w:val="nl-BE"/>
        </w:rPr>
        <w:t xml:space="preserve"> </w:t>
      </w:r>
      <w:r w:rsidR="00697BE9" w:rsidRPr="00E335AF">
        <w:rPr>
          <w:bCs/>
          <w:iCs/>
          <w:szCs w:val="22"/>
          <w:lang w:val="nl-BE"/>
        </w:rPr>
        <w:t xml:space="preserve">van </w:t>
      </w:r>
      <w:r w:rsidR="00697BE9" w:rsidRPr="00D32100">
        <w:rPr>
          <w:bCs/>
          <w:i/>
          <w:szCs w:val="22"/>
          <w:lang w:val="nl-BE"/>
        </w:rPr>
        <w:t xml:space="preserve">[identificatie van de instelling] </w:t>
      </w:r>
      <w:r w:rsidR="003B66B8" w:rsidRPr="00082474">
        <w:rPr>
          <w:bCs/>
          <w:i/>
          <w:szCs w:val="22"/>
          <w:lang w:val="nl-BE"/>
        </w:rPr>
        <w:t>[“</w:t>
      </w:r>
      <w:r w:rsidR="00965AED" w:rsidRPr="00E335AF">
        <w:rPr>
          <w:bCs/>
          <w:i/>
          <w:szCs w:val="22"/>
          <w:lang w:val="nl-BE"/>
        </w:rPr>
        <w:t>voor</w:t>
      </w:r>
      <w:r w:rsidR="00697BE9" w:rsidRPr="00E335AF">
        <w:rPr>
          <w:bCs/>
          <w:i/>
          <w:szCs w:val="22"/>
          <w:lang w:val="nl-BE"/>
        </w:rPr>
        <w:t xml:space="preserve"> het boekjaar afgesloten op</w:t>
      </w:r>
      <w:r w:rsidR="00697BE9" w:rsidRPr="00D32100">
        <w:rPr>
          <w:bCs/>
          <w:i/>
          <w:szCs w:val="22"/>
          <w:lang w:val="nl-BE"/>
        </w:rPr>
        <w:t xml:space="preserve"> DD/MM/JJJJ” </w:t>
      </w:r>
      <w:r w:rsidR="003B66B8" w:rsidRPr="00E335AF">
        <w:rPr>
          <w:bCs/>
          <w:i/>
          <w:szCs w:val="22"/>
          <w:lang w:val="nl-BE"/>
        </w:rPr>
        <w:t>of “</w:t>
      </w:r>
      <w:r w:rsidR="00697BE9" w:rsidRPr="00E335AF">
        <w:rPr>
          <w:bCs/>
          <w:i/>
          <w:szCs w:val="22"/>
          <w:lang w:val="nl-BE"/>
        </w:rPr>
        <w:t>per einde trimester afgesloten</w:t>
      </w:r>
      <w:r w:rsidR="00697BE9" w:rsidRPr="00D32100">
        <w:rPr>
          <w:bCs/>
          <w:i/>
          <w:szCs w:val="22"/>
          <w:lang w:val="nl-BE"/>
        </w:rPr>
        <w:t xml:space="preserve"> op DD/MM/JJJJ</w:t>
      </w:r>
      <w:r w:rsidR="003B66B8" w:rsidRPr="00082474">
        <w:rPr>
          <w:bCs/>
          <w:i/>
          <w:szCs w:val="22"/>
          <w:lang w:val="nl-BE"/>
        </w:rPr>
        <w:t>”</w:t>
      </w:r>
      <w:r w:rsidR="00697BE9" w:rsidRPr="00082474">
        <w:rPr>
          <w:bCs/>
          <w:i/>
          <w:szCs w:val="22"/>
          <w:lang w:val="nl-BE"/>
        </w:rPr>
        <w:t>, naargelang</w:t>
      </w:r>
      <w:r w:rsidR="00965AED" w:rsidRPr="00082474">
        <w:rPr>
          <w:bCs/>
          <w:i/>
          <w:szCs w:val="22"/>
          <w:lang w:val="nl-BE"/>
        </w:rPr>
        <w:t>]</w:t>
      </w:r>
      <w:r w:rsidR="00697BE9" w:rsidRPr="00082474">
        <w:rPr>
          <w:bCs/>
          <w:i/>
          <w:szCs w:val="22"/>
          <w:lang w:val="nl-BE"/>
        </w:rPr>
        <w:t>”</w:t>
      </w:r>
      <w:r w:rsidR="000F746B" w:rsidRPr="00082474">
        <w:rPr>
          <w:bCs/>
          <w:i/>
          <w:szCs w:val="22"/>
          <w:lang w:val="nl-BE"/>
        </w:rPr>
        <w:t>.</w:t>
      </w:r>
    </w:p>
    <w:p w14:paraId="08AF064A" w14:textId="77777777" w:rsidR="00697BE9" w:rsidRPr="00697BE9" w:rsidRDefault="00697BE9" w:rsidP="00AF0530">
      <w:pPr>
        <w:jc w:val="both"/>
        <w:rPr>
          <w:bCs/>
          <w:i/>
          <w:szCs w:val="22"/>
          <w:lang w:val="nl-BE"/>
        </w:rPr>
      </w:pPr>
    </w:p>
    <w:p w14:paraId="3D91021A" w14:textId="1E26F34F" w:rsidR="00697BE9" w:rsidRPr="00697BE9" w:rsidRDefault="00697BE9" w:rsidP="00AF0530">
      <w:pPr>
        <w:jc w:val="both"/>
        <w:rPr>
          <w:bCs/>
          <w:iCs/>
          <w:szCs w:val="22"/>
          <w:lang w:val="nl-BE"/>
        </w:rPr>
      </w:pPr>
      <w:r w:rsidRPr="00697BE9">
        <w:rPr>
          <w:bCs/>
          <w:iCs/>
          <w:szCs w:val="22"/>
          <w:lang w:val="nl-BE"/>
        </w:rPr>
        <w:t xml:space="preserve">De </w:t>
      </w:r>
      <w:r w:rsidR="00F9406E">
        <w:rPr>
          <w:bCs/>
          <w:iCs/>
          <w:szCs w:val="22"/>
          <w:lang w:val="nl-BE"/>
        </w:rPr>
        <w:t>periodieke</w:t>
      </w:r>
      <w:r w:rsidRPr="00697BE9">
        <w:rPr>
          <w:bCs/>
          <w:iCs/>
          <w:szCs w:val="22"/>
          <w:lang w:val="nl-BE"/>
        </w:rPr>
        <w:t xml:space="preserve"> staten bestaan uit drie onderdelen</w:t>
      </w:r>
      <w:r w:rsidR="00F9406E">
        <w:rPr>
          <w:bCs/>
          <w:iCs/>
          <w:szCs w:val="22"/>
          <w:lang w:val="nl-BE"/>
        </w:rPr>
        <w:t xml:space="preserve"> (hierna </w:t>
      </w:r>
      <w:r w:rsidR="00434572" w:rsidRPr="00B81A7D">
        <w:rPr>
          <w:bCs/>
          <w:iCs/>
          <w:szCs w:val="22"/>
          <w:lang w:val="nl-BE"/>
        </w:rPr>
        <w:t>“</w:t>
      </w:r>
      <w:r w:rsidR="00F9406E" w:rsidRPr="00B81A7D">
        <w:rPr>
          <w:bCs/>
          <w:iCs/>
          <w:szCs w:val="22"/>
          <w:lang w:val="nl-BE"/>
        </w:rPr>
        <w:t>de statistische staten</w:t>
      </w:r>
      <w:r w:rsidR="00434572" w:rsidRPr="00B81A7D">
        <w:rPr>
          <w:bCs/>
          <w:iCs/>
          <w:szCs w:val="22"/>
          <w:lang w:val="nl-BE"/>
        </w:rPr>
        <w:t>”</w:t>
      </w:r>
      <w:r w:rsidR="00F9406E">
        <w:rPr>
          <w:bCs/>
          <w:iCs/>
          <w:szCs w:val="22"/>
          <w:lang w:val="nl-BE"/>
        </w:rPr>
        <w:t>)</w:t>
      </w:r>
      <w:r w:rsidRPr="00697BE9">
        <w:rPr>
          <w:bCs/>
          <w:iCs/>
          <w:szCs w:val="22"/>
          <w:lang w:val="nl-BE"/>
        </w:rPr>
        <w:t>:</w:t>
      </w:r>
    </w:p>
    <w:p w14:paraId="7F0A6247" w14:textId="085029D7" w:rsidR="00697BE9" w:rsidRPr="00697BE9" w:rsidRDefault="00434572" w:rsidP="00AF0530">
      <w:pPr>
        <w:pStyle w:val="ListParagraph"/>
        <w:numPr>
          <w:ilvl w:val="0"/>
          <w:numId w:val="7"/>
        </w:numPr>
        <w:spacing w:line="240" w:lineRule="auto"/>
        <w:ind w:left="426" w:hanging="426"/>
        <w:jc w:val="both"/>
        <w:rPr>
          <w:szCs w:val="22"/>
          <w:lang w:val="nl-BE"/>
        </w:rPr>
      </w:pPr>
      <w:r>
        <w:rPr>
          <w:szCs w:val="22"/>
          <w:lang w:val="nl-BE"/>
        </w:rPr>
        <w:t>De g</w:t>
      </w:r>
      <w:r w:rsidR="00697BE9" w:rsidRPr="00697BE9">
        <w:rPr>
          <w:szCs w:val="22"/>
          <w:lang w:val="nl-BE"/>
        </w:rPr>
        <w:t xml:space="preserve">egevens overeenkomstig het schema van de rapportering met betrekking tot ICB’s </w:t>
      </w:r>
      <w:r w:rsidR="00697BE9" w:rsidRPr="00697BE9">
        <w:rPr>
          <w:szCs w:val="22"/>
          <w:lang w:val="nl-BE"/>
        </w:rPr>
        <w:br/>
        <w:t>(de tabellen 'AIF');</w:t>
      </w:r>
    </w:p>
    <w:p w14:paraId="4C693EE5" w14:textId="45A35D49" w:rsidR="00697BE9" w:rsidRPr="00697BE9" w:rsidRDefault="00434572" w:rsidP="00AF0530">
      <w:pPr>
        <w:pStyle w:val="ListParagraph"/>
        <w:numPr>
          <w:ilvl w:val="0"/>
          <w:numId w:val="7"/>
        </w:numPr>
        <w:spacing w:line="240" w:lineRule="auto"/>
        <w:ind w:left="426" w:hanging="426"/>
        <w:jc w:val="both"/>
        <w:rPr>
          <w:szCs w:val="22"/>
          <w:lang w:val="nl-BE"/>
        </w:rPr>
      </w:pPr>
      <w:r>
        <w:rPr>
          <w:szCs w:val="22"/>
          <w:lang w:val="nl-BE"/>
        </w:rPr>
        <w:t>De g</w:t>
      </w:r>
      <w:r w:rsidR="00697BE9" w:rsidRPr="00697BE9">
        <w:rPr>
          <w:szCs w:val="22"/>
          <w:lang w:val="nl-BE"/>
        </w:rPr>
        <w:t xml:space="preserve">egevens vermeld in het schema opgenomen als bijlage 1 bij het </w:t>
      </w:r>
      <w:r w:rsidR="001A28A8">
        <w:rPr>
          <w:szCs w:val="22"/>
          <w:lang w:val="nl-BE"/>
        </w:rPr>
        <w:t>R</w:t>
      </w:r>
      <w:r w:rsidR="00697BE9" w:rsidRPr="00697BE9">
        <w:rPr>
          <w:szCs w:val="22"/>
          <w:lang w:val="nl-BE"/>
        </w:rPr>
        <w:t>eglement</w:t>
      </w:r>
      <w:r w:rsidR="001A28A8">
        <w:rPr>
          <w:szCs w:val="22"/>
          <w:lang w:val="nl-BE"/>
        </w:rPr>
        <w:t xml:space="preserve"> van de Autoriteit voor Financiële</w:t>
      </w:r>
      <w:r w:rsidR="00C30CD3">
        <w:rPr>
          <w:szCs w:val="22"/>
          <w:lang w:val="nl-BE"/>
        </w:rPr>
        <w:t xml:space="preserve"> Diensten en Markten van 16 mei 2017 over de statistische informatie die bepaalde openbare ins</w:t>
      </w:r>
      <w:r w:rsidR="0038681E">
        <w:rPr>
          <w:szCs w:val="22"/>
          <w:lang w:val="nl-BE"/>
        </w:rPr>
        <w:t>t</w:t>
      </w:r>
      <w:r w:rsidR="00C30CD3">
        <w:rPr>
          <w:szCs w:val="22"/>
          <w:lang w:val="nl-BE"/>
        </w:rPr>
        <w:t>ellingen</w:t>
      </w:r>
      <w:r w:rsidR="0038681E">
        <w:rPr>
          <w:szCs w:val="22"/>
          <w:lang w:val="nl-BE"/>
        </w:rPr>
        <w:t xml:space="preserve"> voor collectieve belegging met een veranderlijk aantal rechten van deelneming</w:t>
      </w:r>
      <w:r w:rsidR="001F5648">
        <w:rPr>
          <w:szCs w:val="22"/>
          <w:lang w:val="nl-BE"/>
        </w:rPr>
        <w:t xml:space="preserve"> dienen </w:t>
      </w:r>
      <w:r w:rsidR="00B81A7D">
        <w:rPr>
          <w:szCs w:val="22"/>
          <w:lang w:val="nl-BE"/>
        </w:rPr>
        <w:t>voor</w:t>
      </w:r>
      <w:r w:rsidR="001F5648">
        <w:rPr>
          <w:szCs w:val="22"/>
          <w:lang w:val="nl-BE"/>
        </w:rPr>
        <w:t xml:space="preserve"> te leggen (hierna “het Reglement</w:t>
      </w:r>
      <w:r>
        <w:rPr>
          <w:szCs w:val="22"/>
          <w:lang w:val="nl-BE"/>
        </w:rPr>
        <w:t>”</w:t>
      </w:r>
      <w:r w:rsidR="001F5648">
        <w:rPr>
          <w:szCs w:val="22"/>
          <w:lang w:val="nl-BE"/>
        </w:rPr>
        <w:t>)</w:t>
      </w:r>
      <w:r w:rsidR="00697BE9" w:rsidRPr="00697BE9">
        <w:rPr>
          <w:szCs w:val="22"/>
          <w:lang w:val="nl-BE"/>
        </w:rPr>
        <w:t xml:space="preserve"> (de tabel 'CIS_SUP_1');</w:t>
      </w:r>
      <w:r w:rsidR="002777DC">
        <w:rPr>
          <w:szCs w:val="22"/>
          <w:lang w:val="nl-BE"/>
        </w:rPr>
        <w:t xml:space="preserve"> en</w:t>
      </w:r>
    </w:p>
    <w:p w14:paraId="7C9EAFD4" w14:textId="0C03A329" w:rsidR="00697BE9" w:rsidRDefault="00434572" w:rsidP="00AF0530">
      <w:pPr>
        <w:pStyle w:val="ListParagraph"/>
        <w:numPr>
          <w:ilvl w:val="0"/>
          <w:numId w:val="7"/>
        </w:numPr>
        <w:spacing w:line="240" w:lineRule="auto"/>
        <w:ind w:left="426" w:hanging="426"/>
        <w:jc w:val="both"/>
        <w:rPr>
          <w:szCs w:val="22"/>
          <w:lang w:val="nl-BE"/>
        </w:rPr>
      </w:pPr>
      <w:r>
        <w:rPr>
          <w:szCs w:val="22"/>
          <w:lang w:val="nl-BE"/>
        </w:rPr>
        <w:t>De g</w:t>
      </w:r>
      <w:r w:rsidR="00697BE9" w:rsidRPr="00697BE9">
        <w:rPr>
          <w:szCs w:val="22"/>
          <w:lang w:val="nl-BE"/>
        </w:rPr>
        <w:t xml:space="preserve">egevens vermeld in het schema opgenomen als bijlage 2 bij het </w:t>
      </w:r>
      <w:r w:rsidR="001F5648">
        <w:rPr>
          <w:szCs w:val="22"/>
          <w:lang w:val="nl-BE"/>
        </w:rPr>
        <w:t>R</w:t>
      </w:r>
      <w:r w:rsidR="00697BE9" w:rsidRPr="00697BE9">
        <w:rPr>
          <w:szCs w:val="22"/>
          <w:lang w:val="nl-BE"/>
        </w:rPr>
        <w:t xml:space="preserve">eglement </w:t>
      </w:r>
      <w:r w:rsidR="00697BE9" w:rsidRPr="00697BE9">
        <w:rPr>
          <w:szCs w:val="22"/>
          <w:lang w:val="nl-BE"/>
        </w:rPr>
        <w:br/>
        <w:t>(de tabel 'CIS_SUP_2').</w:t>
      </w:r>
    </w:p>
    <w:p w14:paraId="6ECC53A5" w14:textId="77777777" w:rsidR="00697BE9" w:rsidRDefault="00697BE9" w:rsidP="00AF0530">
      <w:pPr>
        <w:spacing w:line="240" w:lineRule="auto"/>
        <w:jc w:val="both"/>
        <w:rPr>
          <w:szCs w:val="22"/>
          <w:lang w:val="nl-BE"/>
        </w:rPr>
      </w:pPr>
    </w:p>
    <w:p w14:paraId="4DDEEC6B" w14:textId="6098D53A" w:rsidR="00426E9B" w:rsidRPr="00426E9B" w:rsidRDefault="00426E9B" w:rsidP="00AF0530">
      <w:pPr>
        <w:spacing w:line="240" w:lineRule="auto"/>
        <w:jc w:val="both"/>
        <w:rPr>
          <w:szCs w:val="22"/>
          <w:lang w:val="nl-BE"/>
        </w:rPr>
      </w:pPr>
      <w:r w:rsidRPr="00E335AF">
        <w:rPr>
          <w:szCs w:val="22"/>
          <w:lang w:val="nl-BE"/>
        </w:rPr>
        <w:t xml:space="preserve">De circulaire FSMA 2022_08 </w:t>
      </w:r>
      <w:r w:rsidR="00533F14">
        <w:rPr>
          <w:szCs w:val="22"/>
          <w:lang w:val="nl-BE"/>
        </w:rPr>
        <w:t>verduidelijkt</w:t>
      </w:r>
      <w:r w:rsidRPr="00E335AF">
        <w:rPr>
          <w:szCs w:val="22"/>
          <w:lang w:val="nl-BE"/>
        </w:rPr>
        <w:t xml:space="preserve"> de </w:t>
      </w:r>
      <w:r>
        <w:rPr>
          <w:szCs w:val="22"/>
          <w:lang w:val="nl-BE"/>
        </w:rPr>
        <w:t>rol van de erkende revisoren inzake de gegevens opgenomen in de statisti</w:t>
      </w:r>
      <w:r w:rsidR="00E767A1">
        <w:rPr>
          <w:szCs w:val="22"/>
          <w:lang w:val="nl-BE"/>
        </w:rPr>
        <w:t>sche staten</w:t>
      </w:r>
      <w:r>
        <w:rPr>
          <w:szCs w:val="22"/>
          <w:lang w:val="nl-BE"/>
        </w:rPr>
        <w:t xml:space="preserve">. Het eerste deel van onderhavig verslag heeft betrekking op </w:t>
      </w:r>
      <w:r w:rsidR="00434572">
        <w:rPr>
          <w:szCs w:val="22"/>
          <w:lang w:val="nl-BE"/>
        </w:rPr>
        <w:t xml:space="preserve">onze controle van de </w:t>
      </w:r>
      <w:r w:rsidR="00E767A1">
        <w:rPr>
          <w:szCs w:val="22"/>
          <w:lang w:val="nl-BE"/>
        </w:rPr>
        <w:t xml:space="preserve">financiële </w:t>
      </w:r>
      <w:r>
        <w:rPr>
          <w:szCs w:val="22"/>
          <w:lang w:val="nl-BE"/>
        </w:rPr>
        <w:t>gegevens die voortvloeien uit de financiële staten. Het tweede deel van het verslag heeft betrekking op</w:t>
      </w:r>
      <w:r w:rsidR="00434572">
        <w:rPr>
          <w:szCs w:val="22"/>
          <w:lang w:val="nl-BE"/>
        </w:rPr>
        <w:t xml:space="preserve"> de procedures uitgevoerd op</w:t>
      </w:r>
      <w:r>
        <w:rPr>
          <w:szCs w:val="22"/>
          <w:lang w:val="nl-BE"/>
        </w:rPr>
        <w:t xml:space="preserve"> de niet-financiële gegevens. </w:t>
      </w:r>
    </w:p>
    <w:p w14:paraId="3E08B97A" w14:textId="77777777" w:rsidR="008F2FB6" w:rsidRPr="00426E9B" w:rsidRDefault="008F2FB6" w:rsidP="00AF0530">
      <w:pPr>
        <w:spacing w:line="240" w:lineRule="auto"/>
        <w:jc w:val="both"/>
        <w:rPr>
          <w:szCs w:val="22"/>
          <w:lang w:val="nl-BE"/>
        </w:rPr>
      </w:pPr>
    </w:p>
    <w:p w14:paraId="12AEDD47" w14:textId="77777777" w:rsidR="000F7A78" w:rsidRPr="00426E9B" w:rsidRDefault="000F7A78" w:rsidP="00AF0530">
      <w:pPr>
        <w:jc w:val="both"/>
        <w:rPr>
          <w:b/>
          <w:i/>
          <w:szCs w:val="22"/>
          <w:lang w:val="nl-BE"/>
        </w:rPr>
      </w:pPr>
    </w:p>
    <w:p w14:paraId="596B9AB9" w14:textId="4B9FC29B" w:rsidR="00E80257" w:rsidRPr="00082474" w:rsidRDefault="002138AF" w:rsidP="00E335AF">
      <w:pPr>
        <w:pStyle w:val="ListParagraph"/>
        <w:numPr>
          <w:ilvl w:val="0"/>
          <w:numId w:val="9"/>
        </w:numPr>
        <w:ind w:left="284" w:hanging="284"/>
        <w:jc w:val="both"/>
        <w:rPr>
          <w:b/>
          <w:iCs/>
          <w:szCs w:val="22"/>
          <w:lang w:val="nl-BE"/>
        </w:rPr>
      </w:pPr>
      <w:r w:rsidRPr="00D32100">
        <w:rPr>
          <w:b/>
          <w:iCs/>
          <w:szCs w:val="22"/>
          <w:lang w:val="nl-BE"/>
        </w:rPr>
        <w:t xml:space="preserve">Deel 1 : </w:t>
      </w:r>
      <w:r w:rsidR="00E80257" w:rsidRPr="00082474">
        <w:rPr>
          <w:b/>
          <w:iCs/>
          <w:szCs w:val="22"/>
          <w:lang w:val="nl-BE"/>
        </w:rPr>
        <w:t>Verslag van de</w:t>
      </w:r>
      <w:r w:rsidR="00394548" w:rsidRPr="00E335AF">
        <w:rPr>
          <w:b/>
          <w:iCs/>
          <w:szCs w:val="22"/>
          <w:lang w:val="nl-BE"/>
        </w:rPr>
        <w:t xml:space="preserve"> </w:t>
      </w:r>
      <w:r w:rsidR="00B605E2" w:rsidRPr="00E335AF">
        <w:rPr>
          <w:b/>
          <w:iCs/>
          <w:szCs w:val="22"/>
          <w:lang w:val="nl-BE"/>
        </w:rPr>
        <w:t>c</w:t>
      </w:r>
      <w:r w:rsidR="00394548" w:rsidRPr="00E335AF">
        <w:rPr>
          <w:b/>
          <w:iCs/>
          <w:szCs w:val="22"/>
          <w:lang w:val="nl-BE"/>
        </w:rPr>
        <w:t>ommissaris</w:t>
      </w:r>
      <w:r w:rsidR="00E80257" w:rsidRPr="00E335AF">
        <w:rPr>
          <w:b/>
          <w:iCs/>
          <w:szCs w:val="22"/>
          <w:lang w:val="nl-BE"/>
        </w:rPr>
        <w:t xml:space="preserve"> </w:t>
      </w:r>
      <w:r w:rsidR="00E80257" w:rsidRPr="00D32100">
        <w:rPr>
          <w:b/>
          <w:iCs/>
          <w:szCs w:val="22"/>
          <w:lang w:val="nl-BE"/>
        </w:rPr>
        <w:t>aan de FSMA overeenkomstig artikel 106, § 1, eerste lid, 2°, b), (ii) van de wet van 3 augustus 2012 over de</w:t>
      </w:r>
      <w:r w:rsidR="000760E1" w:rsidRPr="00082474">
        <w:rPr>
          <w:b/>
          <w:iCs/>
          <w:szCs w:val="22"/>
          <w:lang w:val="nl-BE"/>
        </w:rPr>
        <w:t xml:space="preserve"> statistische sta</w:t>
      </w:r>
      <w:r w:rsidR="003E78D0" w:rsidRPr="00082474">
        <w:rPr>
          <w:b/>
          <w:iCs/>
          <w:szCs w:val="22"/>
          <w:lang w:val="nl-BE"/>
        </w:rPr>
        <w:t>at</w:t>
      </w:r>
      <w:r w:rsidR="000760E1" w:rsidRPr="00082474">
        <w:rPr>
          <w:b/>
          <w:iCs/>
          <w:szCs w:val="22"/>
          <w:lang w:val="nl-BE"/>
        </w:rPr>
        <w:t xml:space="preserve"> CIS_SUP_2</w:t>
      </w:r>
      <w:r w:rsidR="00E80257" w:rsidRPr="00082474">
        <w:rPr>
          <w:b/>
          <w:iCs/>
          <w:szCs w:val="22"/>
          <w:lang w:val="nl-BE"/>
        </w:rPr>
        <w:t xml:space="preserve"> </w:t>
      </w:r>
      <w:r w:rsidR="00FD7752" w:rsidRPr="00082474">
        <w:rPr>
          <w:b/>
          <w:iCs/>
          <w:szCs w:val="22"/>
          <w:lang w:val="nl-BE"/>
        </w:rPr>
        <w:t>en de financi</w:t>
      </w:r>
      <w:r w:rsidR="00434572" w:rsidRPr="00082474">
        <w:rPr>
          <w:b/>
          <w:iCs/>
          <w:szCs w:val="22"/>
          <w:lang w:val="nl-BE"/>
        </w:rPr>
        <w:t>ë</w:t>
      </w:r>
      <w:r w:rsidR="00FD7752" w:rsidRPr="00082474">
        <w:rPr>
          <w:b/>
          <w:iCs/>
          <w:szCs w:val="22"/>
          <w:lang w:val="nl-BE"/>
        </w:rPr>
        <w:t xml:space="preserve">le gegevens in </w:t>
      </w:r>
      <w:r w:rsidR="00434572" w:rsidRPr="00082474">
        <w:rPr>
          <w:b/>
          <w:iCs/>
          <w:szCs w:val="22"/>
          <w:lang w:val="nl-BE"/>
        </w:rPr>
        <w:t>de</w:t>
      </w:r>
      <w:r w:rsidR="00FD7752" w:rsidRPr="00082474">
        <w:rPr>
          <w:b/>
          <w:iCs/>
          <w:szCs w:val="22"/>
          <w:lang w:val="nl-BE"/>
        </w:rPr>
        <w:t xml:space="preserve"> statistische staten AIF en CIS_SUP</w:t>
      </w:r>
      <w:r w:rsidR="00434572" w:rsidRPr="00082474">
        <w:rPr>
          <w:b/>
          <w:iCs/>
          <w:szCs w:val="22"/>
          <w:lang w:val="nl-BE"/>
        </w:rPr>
        <w:t>_</w:t>
      </w:r>
      <w:r w:rsidR="00FD7752" w:rsidRPr="00082474">
        <w:rPr>
          <w:b/>
          <w:iCs/>
          <w:szCs w:val="22"/>
          <w:lang w:val="nl-BE"/>
        </w:rPr>
        <w:t xml:space="preserve">1 </w:t>
      </w:r>
      <w:r w:rsidR="00E80257" w:rsidRPr="00082474">
        <w:rPr>
          <w:b/>
          <w:iCs/>
          <w:szCs w:val="22"/>
          <w:lang w:val="nl-BE"/>
        </w:rPr>
        <w:t xml:space="preserve">van </w:t>
      </w:r>
      <w:r w:rsidR="00E80257" w:rsidRPr="00E335AF">
        <w:rPr>
          <w:b/>
          <w:i/>
          <w:szCs w:val="22"/>
          <w:lang w:val="nl-BE"/>
        </w:rPr>
        <w:t>[</w:t>
      </w:r>
      <w:r w:rsidR="00E80257" w:rsidRPr="00082474">
        <w:rPr>
          <w:b/>
          <w:i/>
          <w:szCs w:val="22"/>
          <w:lang w:val="nl-BE"/>
        </w:rPr>
        <w:t>identificatie van de instelling</w:t>
      </w:r>
      <w:r w:rsidR="00E80257" w:rsidRPr="00E335AF">
        <w:rPr>
          <w:b/>
          <w:i/>
          <w:szCs w:val="22"/>
          <w:lang w:val="nl-BE"/>
        </w:rPr>
        <w:t xml:space="preserve">] </w:t>
      </w:r>
      <w:r w:rsidR="00E80257" w:rsidRPr="00082474">
        <w:rPr>
          <w:b/>
          <w:i/>
          <w:szCs w:val="22"/>
          <w:lang w:val="nl-BE"/>
        </w:rPr>
        <w:t>[“over het boekjaar afgesloten op [DD/MM/JJJJ</w:t>
      </w:r>
      <w:r w:rsidR="00E80257" w:rsidRPr="00E335AF">
        <w:rPr>
          <w:b/>
          <w:i/>
          <w:szCs w:val="22"/>
          <w:lang w:val="nl-BE"/>
        </w:rPr>
        <w:t xml:space="preserve">]” </w:t>
      </w:r>
      <w:r w:rsidR="00E80257" w:rsidRPr="00082474">
        <w:rPr>
          <w:b/>
          <w:i/>
          <w:szCs w:val="22"/>
          <w:lang w:val="nl-BE"/>
        </w:rPr>
        <w:t>of “per einde trimester afgesloten op [DD/MM/JJJJ]”, naargelang]</w:t>
      </w:r>
    </w:p>
    <w:p w14:paraId="101B9250" w14:textId="77777777" w:rsidR="00E80257" w:rsidRPr="00E335AF" w:rsidRDefault="00E80257" w:rsidP="00AF0530">
      <w:pPr>
        <w:jc w:val="both"/>
        <w:rPr>
          <w:b/>
          <w:iCs/>
          <w:szCs w:val="22"/>
          <w:lang w:val="nl-BE"/>
        </w:rPr>
      </w:pPr>
    </w:p>
    <w:p w14:paraId="22B9A108" w14:textId="7F811FF9" w:rsidR="00426E9B" w:rsidRDefault="000D06ED" w:rsidP="00AF0530">
      <w:pPr>
        <w:jc w:val="both"/>
        <w:rPr>
          <w:rFonts w:eastAsia="MingLiU"/>
          <w:b/>
          <w:i/>
          <w:szCs w:val="22"/>
          <w:lang w:val="nl-BE"/>
        </w:rPr>
      </w:pPr>
      <w:r>
        <w:rPr>
          <w:b/>
          <w:i/>
          <w:szCs w:val="22"/>
          <w:lang w:val="nl-BE"/>
        </w:rPr>
        <w:t>Opdracht</w:t>
      </w:r>
    </w:p>
    <w:p w14:paraId="0A22B2B6" w14:textId="77777777" w:rsidR="00FD7752" w:rsidRDefault="00FD7752" w:rsidP="00AF0530">
      <w:pPr>
        <w:jc w:val="both"/>
        <w:rPr>
          <w:rFonts w:eastAsia="MingLiU"/>
          <w:szCs w:val="22"/>
          <w:lang w:val="nl-BE"/>
        </w:rPr>
      </w:pPr>
    </w:p>
    <w:p w14:paraId="087094E2" w14:textId="37DA116E" w:rsidR="00631C4A" w:rsidRDefault="00E80257" w:rsidP="00AF0530">
      <w:pPr>
        <w:jc w:val="both"/>
        <w:rPr>
          <w:rFonts w:eastAsia="MingLiU"/>
          <w:szCs w:val="22"/>
          <w:lang w:val="nl-BE"/>
        </w:rPr>
      </w:pPr>
      <w:r w:rsidRPr="0032351D">
        <w:rPr>
          <w:rFonts w:eastAsia="MingLiU"/>
          <w:szCs w:val="22"/>
          <w:lang w:val="nl-BE"/>
        </w:rPr>
        <w:t xml:space="preserve">In het kader van onze controle van de </w:t>
      </w:r>
      <w:r w:rsidR="000760E1">
        <w:rPr>
          <w:rFonts w:eastAsia="MingLiU"/>
          <w:szCs w:val="22"/>
          <w:lang w:val="nl-BE"/>
        </w:rPr>
        <w:t xml:space="preserve">gegevens vermeld in </w:t>
      </w:r>
      <w:r w:rsidR="004564CE">
        <w:rPr>
          <w:rFonts w:eastAsia="MingLiU"/>
          <w:szCs w:val="22"/>
          <w:lang w:val="nl-BE"/>
        </w:rPr>
        <w:t>de statistisc</w:t>
      </w:r>
      <w:r w:rsidR="003E78D0">
        <w:rPr>
          <w:rFonts w:eastAsia="MingLiU"/>
          <w:szCs w:val="22"/>
          <w:lang w:val="nl-BE"/>
        </w:rPr>
        <w:t>he</w:t>
      </w:r>
      <w:r w:rsidR="004564CE">
        <w:rPr>
          <w:rFonts w:eastAsia="MingLiU"/>
          <w:szCs w:val="22"/>
          <w:lang w:val="nl-BE"/>
        </w:rPr>
        <w:t xml:space="preserve"> sta</w:t>
      </w:r>
      <w:r w:rsidR="003E78D0">
        <w:rPr>
          <w:rFonts w:eastAsia="MingLiU"/>
          <w:szCs w:val="22"/>
          <w:lang w:val="nl-BE"/>
        </w:rPr>
        <w:t>at</w:t>
      </w:r>
      <w:r w:rsidR="004564CE">
        <w:rPr>
          <w:rFonts w:eastAsia="MingLiU"/>
          <w:szCs w:val="22"/>
          <w:lang w:val="nl-BE"/>
        </w:rPr>
        <w:t xml:space="preserve"> CIS_SUP_2</w:t>
      </w:r>
      <w:r w:rsidR="000760E1">
        <w:rPr>
          <w:rFonts w:eastAsia="MingLiU"/>
          <w:szCs w:val="22"/>
          <w:lang w:val="nl-BE"/>
        </w:rPr>
        <w:t xml:space="preserve"> </w:t>
      </w:r>
      <w:r w:rsidR="00FD7752">
        <w:rPr>
          <w:rFonts w:eastAsia="MingLiU"/>
          <w:szCs w:val="22"/>
          <w:lang w:val="nl-BE"/>
        </w:rPr>
        <w:t xml:space="preserve">en de </w:t>
      </w:r>
      <w:r w:rsidR="007F0080">
        <w:rPr>
          <w:rFonts w:eastAsia="MingLiU"/>
          <w:szCs w:val="22"/>
          <w:lang w:val="nl-BE"/>
        </w:rPr>
        <w:t>financiële</w:t>
      </w:r>
      <w:r w:rsidR="00FD7752">
        <w:rPr>
          <w:rFonts w:eastAsia="MingLiU"/>
          <w:szCs w:val="22"/>
          <w:lang w:val="nl-BE"/>
        </w:rPr>
        <w:t xml:space="preserve"> gegevens </w:t>
      </w:r>
      <w:r w:rsidR="000760E1">
        <w:rPr>
          <w:rFonts w:eastAsia="MingLiU"/>
          <w:szCs w:val="22"/>
          <w:lang w:val="nl-BE"/>
        </w:rPr>
        <w:t xml:space="preserve">opgenomen </w:t>
      </w:r>
      <w:r w:rsidR="00FD7752">
        <w:rPr>
          <w:rFonts w:eastAsia="MingLiU"/>
          <w:szCs w:val="22"/>
          <w:lang w:val="nl-BE"/>
        </w:rPr>
        <w:t xml:space="preserve">in </w:t>
      </w:r>
      <w:r w:rsidR="00D03F30">
        <w:rPr>
          <w:rFonts w:eastAsia="MingLiU"/>
          <w:szCs w:val="22"/>
          <w:lang w:val="nl-BE"/>
        </w:rPr>
        <w:t>de</w:t>
      </w:r>
      <w:r w:rsidR="00FD7752">
        <w:rPr>
          <w:rFonts w:eastAsia="MingLiU"/>
          <w:szCs w:val="22"/>
          <w:lang w:val="nl-BE"/>
        </w:rPr>
        <w:t xml:space="preserve"> statistische staten AIF en CIS_SUP1 </w:t>
      </w:r>
      <w:r w:rsidRPr="0032351D">
        <w:rPr>
          <w:rFonts w:eastAsia="MingLiU"/>
          <w:szCs w:val="22"/>
          <w:lang w:val="nl-BE"/>
        </w:rPr>
        <w:t>van [</w:t>
      </w:r>
      <w:r w:rsidRPr="0032351D">
        <w:rPr>
          <w:rFonts w:eastAsia="MingLiU"/>
          <w:i/>
          <w:szCs w:val="22"/>
          <w:lang w:val="nl-BE"/>
        </w:rPr>
        <w:t>identificatie van de instelling</w:t>
      </w:r>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sidR="00FD7752">
        <w:rPr>
          <w:rFonts w:eastAsia="MingLiU"/>
          <w:szCs w:val="22"/>
          <w:lang w:val="nl-BE"/>
        </w:rPr>
        <w:t>,</w:t>
      </w:r>
      <w:r w:rsidRPr="0032351D">
        <w:rPr>
          <w:rFonts w:eastAsia="MingLiU"/>
          <w:szCs w:val="22"/>
          <w:lang w:val="nl-BE"/>
        </w:rPr>
        <w:t xml:space="preserve"> leggen wij u ons verslag van </w:t>
      </w:r>
      <w:r w:rsidR="00A77F0D">
        <w:rPr>
          <w:rFonts w:eastAsia="MingLiU"/>
          <w:iCs/>
          <w:szCs w:val="22"/>
          <w:lang w:val="nl-BE"/>
        </w:rPr>
        <w:t>c</w:t>
      </w:r>
      <w:r w:rsidRPr="00A77F0D">
        <w:rPr>
          <w:rFonts w:eastAsia="MingLiU"/>
          <w:iCs/>
          <w:szCs w:val="22"/>
          <w:lang w:val="nl-BE"/>
        </w:rPr>
        <w:t>ommissaris</w:t>
      </w:r>
      <w:r w:rsidR="00A77F0D" w:rsidRPr="00A77F0D">
        <w:rPr>
          <w:rFonts w:eastAsia="MingLiU"/>
          <w:iCs/>
          <w:szCs w:val="22"/>
          <w:lang w:val="nl-BE"/>
        </w:rPr>
        <w:t xml:space="preserve"> </w:t>
      </w:r>
      <w:r w:rsidRPr="0032351D">
        <w:rPr>
          <w:rFonts w:eastAsia="MingLiU"/>
          <w:szCs w:val="22"/>
          <w:lang w:val="nl-BE"/>
        </w:rPr>
        <w:t>voor.</w:t>
      </w:r>
    </w:p>
    <w:p w14:paraId="0ECB99F9" w14:textId="77777777" w:rsidR="00631C4A" w:rsidRDefault="00631C4A" w:rsidP="00AF0530">
      <w:pPr>
        <w:jc w:val="both"/>
        <w:rPr>
          <w:rFonts w:eastAsia="MingLiU"/>
          <w:szCs w:val="22"/>
          <w:lang w:val="nl-BE"/>
        </w:rPr>
      </w:pPr>
    </w:p>
    <w:p w14:paraId="44E682EA" w14:textId="154C0D74" w:rsidR="00FD7752" w:rsidRDefault="00FD7752" w:rsidP="00AF0530">
      <w:pPr>
        <w:jc w:val="both"/>
        <w:rPr>
          <w:rFonts w:eastAsia="MingLiU"/>
          <w:szCs w:val="22"/>
          <w:lang w:val="nl-BE"/>
        </w:rPr>
      </w:pPr>
      <w:r>
        <w:rPr>
          <w:rFonts w:eastAsia="MingLiU"/>
          <w:szCs w:val="22"/>
          <w:lang w:val="nl-BE"/>
        </w:rPr>
        <w:t xml:space="preserve">Overeenkomstig </w:t>
      </w:r>
      <w:r w:rsidR="00893B80">
        <w:rPr>
          <w:rFonts w:eastAsia="MingLiU"/>
          <w:szCs w:val="22"/>
          <w:lang w:val="nl-BE"/>
        </w:rPr>
        <w:t xml:space="preserve">de </w:t>
      </w:r>
      <w:r>
        <w:rPr>
          <w:rFonts w:eastAsia="MingLiU"/>
          <w:szCs w:val="22"/>
          <w:lang w:val="nl-BE"/>
        </w:rPr>
        <w:t xml:space="preserve">circulaire FSMA 2022_08, hebben wij de volgende informatie </w:t>
      </w:r>
      <w:r w:rsidR="00060816">
        <w:rPr>
          <w:rFonts w:eastAsia="MingLiU"/>
          <w:szCs w:val="22"/>
          <w:lang w:val="nl-BE"/>
        </w:rPr>
        <w:t xml:space="preserve">opgenomen in de statistische staten CIS_SUP_2, AIF en CIS_SUP_1 </w:t>
      </w:r>
      <w:r w:rsidR="00D03F30">
        <w:rPr>
          <w:rFonts w:eastAsia="MingLiU"/>
          <w:szCs w:val="22"/>
          <w:lang w:val="nl-BE"/>
        </w:rPr>
        <w:t xml:space="preserve">(hierna </w:t>
      </w:r>
      <w:r w:rsidR="00D03F30" w:rsidRPr="00E335AF">
        <w:rPr>
          <w:rFonts w:eastAsia="MingLiU"/>
          <w:i/>
          <w:iCs/>
          <w:szCs w:val="22"/>
          <w:lang w:val="nl-BE"/>
        </w:rPr>
        <w:t>“de financiële gegevens”</w:t>
      </w:r>
      <w:r w:rsidR="00D03F30">
        <w:rPr>
          <w:rFonts w:eastAsia="MingLiU"/>
          <w:szCs w:val="22"/>
          <w:lang w:val="nl-BE"/>
        </w:rPr>
        <w:t xml:space="preserve">) </w:t>
      </w:r>
      <w:r>
        <w:rPr>
          <w:rFonts w:eastAsia="MingLiU"/>
          <w:szCs w:val="22"/>
          <w:lang w:val="nl-BE"/>
        </w:rPr>
        <w:t xml:space="preserve">gecontroleerd: </w:t>
      </w:r>
    </w:p>
    <w:p w14:paraId="5EC8992C" w14:textId="77777777" w:rsidR="00FD7752" w:rsidRDefault="00FD7752" w:rsidP="00AF0530">
      <w:pPr>
        <w:jc w:val="both"/>
        <w:rPr>
          <w:rFonts w:eastAsia="MingLiU"/>
          <w:szCs w:val="22"/>
          <w:lang w:val="nl-BE"/>
        </w:rPr>
      </w:pPr>
    </w:p>
    <w:p w14:paraId="6FD3925D" w14:textId="77777777" w:rsidR="00FD7752" w:rsidRPr="009C22B0" w:rsidRDefault="00FD7752" w:rsidP="00FD7752">
      <w:pPr>
        <w:pStyle w:val="ListParagraph"/>
        <w:numPr>
          <w:ilvl w:val="0"/>
          <w:numId w:val="14"/>
        </w:numPr>
        <w:spacing w:after="260"/>
        <w:ind w:left="357" w:hanging="357"/>
        <w:jc w:val="both"/>
        <w:rPr>
          <w:rFonts w:cstheme="minorHAnsi"/>
          <w:lang w:val="gsw-FR"/>
        </w:rPr>
      </w:pPr>
      <w:r w:rsidRPr="009C22B0">
        <w:rPr>
          <w:rFonts w:cstheme="minorHAnsi"/>
          <w:lang w:val="gsw-FR"/>
        </w:rPr>
        <w:t>het totale nettoactief (NAV) en de activa onder beheer (AUM);</w:t>
      </w:r>
    </w:p>
    <w:p w14:paraId="22A2E323" w14:textId="77777777" w:rsidR="00FD7752" w:rsidRPr="009C22B0" w:rsidRDefault="00FD7752" w:rsidP="00FD7752">
      <w:pPr>
        <w:pStyle w:val="ListParagraph"/>
        <w:numPr>
          <w:ilvl w:val="0"/>
          <w:numId w:val="14"/>
        </w:numPr>
        <w:spacing w:after="260"/>
        <w:ind w:left="357" w:hanging="357"/>
        <w:jc w:val="both"/>
        <w:rPr>
          <w:rFonts w:cstheme="minorHAnsi"/>
          <w:lang w:val="gsw-FR"/>
        </w:rPr>
      </w:pPr>
      <w:r w:rsidRPr="009C22B0">
        <w:rPr>
          <w:rFonts w:cstheme="minorHAnsi"/>
          <w:lang w:val="gsw-FR"/>
        </w:rPr>
        <w:t>de gegevens over de blootstellingen, zoals op bepaalde activacategorieën, markten, instrumenten, geografische regio’s, munteenheden en tegenpartijen;</w:t>
      </w:r>
    </w:p>
    <w:p w14:paraId="5DF0782D" w14:textId="77777777" w:rsidR="00FD7752" w:rsidRPr="009C22B0" w:rsidRDefault="00FD7752" w:rsidP="00FD7752">
      <w:pPr>
        <w:pStyle w:val="ListParagraph"/>
        <w:numPr>
          <w:ilvl w:val="0"/>
          <w:numId w:val="14"/>
        </w:numPr>
        <w:spacing w:after="260"/>
        <w:ind w:left="357" w:hanging="357"/>
        <w:jc w:val="both"/>
        <w:rPr>
          <w:rFonts w:cstheme="minorHAnsi"/>
          <w:lang w:val="gsw-FR"/>
        </w:rPr>
      </w:pPr>
      <w:r w:rsidRPr="009C22B0">
        <w:rPr>
          <w:lang w:val="gsw-FR"/>
        </w:rPr>
        <w:t>de gegevens over de ontleningen, met inbegrip van de in financiële instrumenten ingebedde ontleningen, en de financieringsliquiditeit (waaronder kredietlijnen);</w:t>
      </w:r>
    </w:p>
    <w:p w14:paraId="6D3F349B" w14:textId="77777777" w:rsidR="00FD7752" w:rsidRPr="009C22B0" w:rsidRDefault="00FD7752" w:rsidP="00FD7752">
      <w:pPr>
        <w:pStyle w:val="ListParagraph"/>
        <w:numPr>
          <w:ilvl w:val="0"/>
          <w:numId w:val="14"/>
        </w:numPr>
        <w:spacing w:after="260"/>
        <w:ind w:left="357" w:hanging="357"/>
        <w:jc w:val="both"/>
        <w:rPr>
          <w:rFonts w:cstheme="minorHAnsi"/>
          <w:lang w:val="gsw-FR"/>
        </w:rPr>
      </w:pPr>
      <w:r w:rsidRPr="009C22B0">
        <w:rPr>
          <w:rFonts w:cstheme="minorHAnsi"/>
          <w:lang w:val="gsw-FR"/>
        </w:rPr>
        <w:t>het aantal openstaande posities;</w:t>
      </w:r>
    </w:p>
    <w:p w14:paraId="2CD20B7B" w14:textId="77777777" w:rsidR="00FD7752" w:rsidRPr="009C22B0" w:rsidRDefault="00FD7752" w:rsidP="00FD7752">
      <w:pPr>
        <w:pStyle w:val="ListParagraph"/>
        <w:numPr>
          <w:ilvl w:val="0"/>
          <w:numId w:val="14"/>
        </w:numPr>
        <w:spacing w:after="260"/>
        <w:ind w:left="357" w:hanging="357"/>
        <w:jc w:val="both"/>
        <w:rPr>
          <w:rFonts w:cstheme="minorHAnsi"/>
          <w:lang w:val="gsw-FR"/>
        </w:rPr>
      </w:pPr>
      <w:r w:rsidRPr="009C22B0">
        <w:rPr>
          <w:rFonts w:cstheme="minorHAnsi"/>
          <w:lang w:val="gsw-FR"/>
        </w:rPr>
        <w:t>de gegevens over bruto- en nettorendementen en veranderingen in het nettoactief;</w:t>
      </w:r>
    </w:p>
    <w:p w14:paraId="110F3A30" w14:textId="77777777" w:rsidR="00FD7752" w:rsidRPr="009C22B0" w:rsidRDefault="00FD7752" w:rsidP="00FD7752">
      <w:pPr>
        <w:pStyle w:val="ListParagraph"/>
        <w:numPr>
          <w:ilvl w:val="0"/>
          <w:numId w:val="14"/>
        </w:numPr>
        <w:spacing w:after="260"/>
        <w:ind w:left="357" w:hanging="357"/>
        <w:jc w:val="both"/>
        <w:rPr>
          <w:rFonts w:cstheme="minorHAnsi"/>
          <w:lang w:val="gsw-FR"/>
        </w:rPr>
      </w:pPr>
      <w:r w:rsidRPr="009C22B0">
        <w:rPr>
          <w:rFonts w:cstheme="minorHAnsi"/>
          <w:lang w:val="gsw-FR"/>
        </w:rPr>
        <w:t>de gegevens over inschrijvingen en terugbetalingen;</w:t>
      </w:r>
    </w:p>
    <w:p w14:paraId="10380860" w14:textId="77777777" w:rsidR="00FD7752" w:rsidRPr="009C22B0" w:rsidRDefault="00FD7752" w:rsidP="00FD7752">
      <w:pPr>
        <w:pStyle w:val="ListParagraph"/>
        <w:numPr>
          <w:ilvl w:val="0"/>
          <w:numId w:val="14"/>
        </w:numPr>
        <w:spacing w:after="260"/>
        <w:ind w:left="357" w:hanging="357"/>
        <w:jc w:val="both"/>
        <w:rPr>
          <w:rFonts w:cstheme="minorHAnsi"/>
          <w:lang w:val="gsw-FR"/>
        </w:rPr>
      </w:pPr>
      <w:r w:rsidRPr="009C22B0">
        <w:rPr>
          <w:rFonts w:cstheme="minorHAnsi"/>
          <w:lang w:val="gsw-FR"/>
        </w:rPr>
        <w:t>de gegevens over de waarde van de zekerheden en andere kredietsteun die de ICB of het compartiment heeft ontvangen of heeft gedeponeerd;</w:t>
      </w:r>
    </w:p>
    <w:p w14:paraId="752A39AC" w14:textId="21ACD1D7" w:rsidR="00D03F30" w:rsidRPr="00E335AF" w:rsidRDefault="00FD7752" w:rsidP="00FD7752">
      <w:pPr>
        <w:pStyle w:val="ListParagraph"/>
        <w:numPr>
          <w:ilvl w:val="0"/>
          <w:numId w:val="14"/>
        </w:numPr>
        <w:spacing w:after="260"/>
        <w:ind w:left="357" w:hanging="357"/>
        <w:jc w:val="both"/>
        <w:rPr>
          <w:rFonts w:eastAsia="MingLiU"/>
          <w:szCs w:val="22"/>
          <w:lang w:val="nl-BE"/>
        </w:rPr>
      </w:pPr>
      <w:r w:rsidRPr="00D32100">
        <w:rPr>
          <w:rFonts w:cstheme="minorHAnsi"/>
          <w:lang w:val="gsw-FR"/>
        </w:rPr>
        <w:t>de gegevens over de effectenleningen;</w:t>
      </w:r>
      <w:r w:rsidR="00D03F30" w:rsidRPr="00082474">
        <w:rPr>
          <w:rFonts w:cstheme="minorHAnsi"/>
          <w:lang w:val="gsw-FR"/>
        </w:rPr>
        <w:t xml:space="preserve"> en</w:t>
      </w:r>
    </w:p>
    <w:p w14:paraId="0CC8B825" w14:textId="3182775F" w:rsidR="00E80257" w:rsidRPr="00082474" w:rsidRDefault="00FD7752" w:rsidP="00E335AF">
      <w:pPr>
        <w:pStyle w:val="ListParagraph"/>
        <w:numPr>
          <w:ilvl w:val="0"/>
          <w:numId w:val="14"/>
        </w:numPr>
        <w:spacing w:after="260"/>
        <w:ind w:left="357" w:hanging="357"/>
        <w:jc w:val="both"/>
        <w:rPr>
          <w:rFonts w:eastAsia="MingLiU"/>
          <w:szCs w:val="22"/>
          <w:lang w:val="nl-BE"/>
        </w:rPr>
      </w:pPr>
      <w:r w:rsidRPr="00D32100">
        <w:rPr>
          <w:rFonts w:cstheme="minorHAnsi"/>
          <w:lang w:val="gsw-FR"/>
        </w:rPr>
        <w:t>de gegevens uit de tabel CIS_SUP_2.</w:t>
      </w:r>
      <w:r w:rsidRPr="00082474">
        <w:rPr>
          <w:rFonts w:eastAsia="MingLiU"/>
          <w:szCs w:val="22"/>
          <w:lang w:val="nl-BE"/>
        </w:rPr>
        <w:t xml:space="preserve"> </w:t>
      </w:r>
    </w:p>
    <w:p w14:paraId="3608A9CF" w14:textId="77777777" w:rsidR="00E80257" w:rsidRPr="0032351D" w:rsidRDefault="00E80257" w:rsidP="00AF0530">
      <w:pPr>
        <w:jc w:val="both"/>
        <w:rPr>
          <w:b/>
          <w:i/>
          <w:szCs w:val="22"/>
          <w:lang w:val="nl-BE"/>
        </w:rPr>
      </w:pPr>
    </w:p>
    <w:p w14:paraId="0567338F" w14:textId="77777777" w:rsidR="00E80257" w:rsidRPr="0032351D" w:rsidRDefault="00E80257" w:rsidP="00AF0530">
      <w:pPr>
        <w:jc w:val="both"/>
        <w:rPr>
          <w:rFonts w:eastAsia="MingLiU"/>
          <w:b/>
          <w:i/>
          <w:szCs w:val="22"/>
          <w:lang w:val="nl-BE"/>
        </w:rPr>
      </w:pPr>
      <w:r w:rsidRPr="0032351D">
        <w:rPr>
          <w:b/>
          <w:i/>
          <w:szCs w:val="22"/>
          <w:lang w:val="nl-BE"/>
        </w:rPr>
        <w:t xml:space="preserve">Oordeel </w:t>
      </w:r>
      <w:r w:rsidRPr="0032351D">
        <w:rPr>
          <w:rFonts w:eastAsia="MingLiU"/>
          <w:b/>
          <w:i/>
          <w:szCs w:val="22"/>
          <w:lang w:val="nl-BE"/>
        </w:rPr>
        <w:t>zonder voorbehoud [of met voorbehoud(en), naar gelang nodig]</w:t>
      </w:r>
    </w:p>
    <w:p w14:paraId="6331A1C1" w14:textId="77777777" w:rsidR="00E80257" w:rsidRPr="0032351D" w:rsidRDefault="00E80257" w:rsidP="00AF0530">
      <w:pPr>
        <w:jc w:val="both"/>
        <w:rPr>
          <w:b/>
          <w:i/>
          <w:szCs w:val="22"/>
          <w:lang w:val="nl-BE"/>
        </w:rPr>
      </w:pPr>
    </w:p>
    <w:p w14:paraId="02175AC9" w14:textId="037AD0D7" w:rsidR="00E80257" w:rsidRPr="0032351D" w:rsidRDefault="00E80257" w:rsidP="00AF0530">
      <w:pPr>
        <w:jc w:val="both"/>
        <w:rPr>
          <w:szCs w:val="22"/>
          <w:lang w:val="nl-BE"/>
        </w:rPr>
      </w:pPr>
      <w:r w:rsidRPr="0032351D">
        <w:rPr>
          <w:szCs w:val="22"/>
          <w:lang w:val="nl-BE"/>
        </w:rPr>
        <w:t>Naar ons oordeel werd</w:t>
      </w:r>
      <w:r w:rsidR="006E7B36">
        <w:rPr>
          <w:szCs w:val="22"/>
          <w:lang w:val="nl-BE"/>
        </w:rPr>
        <w:t>en</w:t>
      </w:r>
      <w:r w:rsidRPr="0032351D">
        <w:rPr>
          <w:szCs w:val="22"/>
          <w:lang w:val="nl-BE"/>
        </w:rPr>
        <w:t xml:space="preserve"> de </w:t>
      </w:r>
      <w:r w:rsidR="00060816">
        <w:rPr>
          <w:szCs w:val="22"/>
          <w:lang w:val="nl-BE"/>
        </w:rPr>
        <w:t>financiële gegevens o</w:t>
      </w:r>
      <w:r w:rsidR="00394548">
        <w:rPr>
          <w:szCs w:val="22"/>
          <w:lang w:val="nl-BE"/>
        </w:rPr>
        <w:t>pgenomen in de statistische sta</w:t>
      </w:r>
      <w:r w:rsidR="00060816">
        <w:rPr>
          <w:szCs w:val="22"/>
          <w:lang w:val="nl-BE"/>
        </w:rPr>
        <w:t>ten</w:t>
      </w:r>
      <w:r w:rsidR="00BF2039">
        <w:rPr>
          <w:szCs w:val="22"/>
          <w:lang w:val="nl-BE"/>
        </w:rPr>
        <w:t xml:space="preserve"> </w:t>
      </w:r>
      <w:r w:rsidRPr="0032351D">
        <w:rPr>
          <w:szCs w:val="22"/>
          <w:lang w:val="nl-BE"/>
        </w:rPr>
        <w:t xml:space="preserve">afgesloten op </w:t>
      </w:r>
      <w:r w:rsidRPr="0032351D">
        <w:rPr>
          <w:i/>
          <w:szCs w:val="22"/>
          <w:lang w:val="nl-BE"/>
        </w:rPr>
        <w:t>[DD/MM/JJJJ]</w:t>
      </w:r>
      <w:r w:rsidRPr="0032351D">
        <w:rPr>
          <w:szCs w:val="22"/>
          <w:lang w:val="nl-BE"/>
        </w:rPr>
        <w:t xml:space="preserve"> in alle materieel belangrijke opzichten opgesteld overeenkomstig de geldende richtlijnen van de FSMA.</w:t>
      </w:r>
    </w:p>
    <w:p w14:paraId="55027330" w14:textId="77777777" w:rsidR="00E80257" w:rsidRPr="0032351D" w:rsidRDefault="00E80257" w:rsidP="00AF0530">
      <w:pPr>
        <w:jc w:val="both"/>
        <w:rPr>
          <w:szCs w:val="22"/>
          <w:lang w:val="nl-BE"/>
        </w:rPr>
      </w:pPr>
    </w:p>
    <w:p w14:paraId="5A09CBAF" w14:textId="77777777" w:rsidR="00E80257" w:rsidRPr="0032351D" w:rsidRDefault="00E80257" w:rsidP="00AF0530">
      <w:pPr>
        <w:jc w:val="both"/>
        <w:rPr>
          <w:i/>
          <w:szCs w:val="22"/>
          <w:lang w:val="nl-BE"/>
        </w:rPr>
      </w:pPr>
      <w:r w:rsidRPr="0032351D">
        <w:rPr>
          <w:rFonts w:eastAsia="MingLiU"/>
          <w:b/>
          <w:i/>
          <w:szCs w:val="22"/>
          <w:lang w:val="nl-BE"/>
        </w:rPr>
        <w:t>Basis voor ons oordeel [met voorbehoud – naar gelang nodig]</w:t>
      </w:r>
    </w:p>
    <w:p w14:paraId="44D7E1D9" w14:textId="77777777" w:rsidR="00E80257" w:rsidRPr="0032351D" w:rsidRDefault="00E80257" w:rsidP="00AF0530">
      <w:pPr>
        <w:jc w:val="both"/>
        <w:rPr>
          <w:szCs w:val="22"/>
          <w:lang w:val="nl-BE"/>
        </w:rPr>
      </w:pPr>
    </w:p>
    <w:p w14:paraId="2900238A" w14:textId="77777777" w:rsidR="00E80257" w:rsidRPr="0032351D" w:rsidRDefault="00E80257" w:rsidP="00AF0530">
      <w:pPr>
        <w:spacing w:line="240" w:lineRule="auto"/>
        <w:jc w:val="both"/>
        <w:rPr>
          <w:i/>
          <w:szCs w:val="22"/>
          <w:lang w:val="nl-BE"/>
        </w:rPr>
      </w:pPr>
      <w:r w:rsidRPr="0032351D">
        <w:rPr>
          <w:i/>
          <w:szCs w:val="22"/>
          <w:lang w:val="nl-BE"/>
        </w:rPr>
        <w:t>[Rapporteer hier de bevindingen die tot een voorbehoud leiden – naargelang]</w:t>
      </w:r>
    </w:p>
    <w:p w14:paraId="05603995" w14:textId="77777777" w:rsidR="00E80257" w:rsidRPr="0032351D" w:rsidRDefault="00E80257" w:rsidP="00AF0530">
      <w:pPr>
        <w:spacing w:line="240" w:lineRule="auto"/>
        <w:jc w:val="both"/>
        <w:rPr>
          <w:i/>
          <w:szCs w:val="22"/>
          <w:lang w:val="nl-BE"/>
        </w:rPr>
      </w:pPr>
    </w:p>
    <w:p w14:paraId="578DB170" w14:textId="763A4487" w:rsidR="00E80257" w:rsidRPr="0032351D" w:rsidRDefault="00E80257" w:rsidP="00AF0530">
      <w:pPr>
        <w:jc w:val="both"/>
        <w:rPr>
          <w:szCs w:val="22"/>
          <w:lang w:val="nl-BE"/>
        </w:rPr>
      </w:pPr>
      <w:r w:rsidRPr="0032351D">
        <w:rPr>
          <w:szCs w:val="22"/>
          <w:lang w:val="nl-BE"/>
        </w:rPr>
        <w:t>Wij hebben onze controle</w:t>
      </w:r>
      <w:r w:rsidR="00394548">
        <w:rPr>
          <w:szCs w:val="22"/>
          <w:lang w:val="nl-BE"/>
        </w:rPr>
        <w:t xml:space="preserve"> van de </w:t>
      </w:r>
      <w:r w:rsidR="00D32100">
        <w:rPr>
          <w:szCs w:val="22"/>
          <w:lang w:val="nl-BE"/>
        </w:rPr>
        <w:t xml:space="preserve">financiële gegevens opgenomen in de </w:t>
      </w:r>
      <w:r w:rsidR="00394548">
        <w:rPr>
          <w:szCs w:val="22"/>
          <w:lang w:val="nl-BE"/>
        </w:rPr>
        <w:t>statistische sta</w:t>
      </w:r>
      <w:r w:rsidR="00D32100">
        <w:rPr>
          <w:szCs w:val="22"/>
          <w:lang w:val="nl-BE"/>
        </w:rPr>
        <w:t>ten</w:t>
      </w:r>
      <w:r w:rsidR="00BF2039">
        <w:rPr>
          <w:szCs w:val="22"/>
          <w:lang w:val="nl-BE"/>
        </w:rPr>
        <w:t xml:space="preserve"> </w:t>
      </w:r>
      <w:r w:rsidRPr="0032351D">
        <w:rPr>
          <w:szCs w:val="22"/>
          <w:lang w:val="nl-BE"/>
        </w:rPr>
        <w:t xml:space="preserve">uitgevoerd volgens de Internationale Controlestandaarden (ISA’s) en de richtlijnen van de FSMA aan de </w:t>
      </w:r>
      <w:r w:rsidR="00B85445" w:rsidRPr="00A77F0D">
        <w:rPr>
          <w:iCs/>
          <w:szCs w:val="22"/>
          <w:lang w:val="nl-BE"/>
        </w:rPr>
        <w:t>c</w:t>
      </w:r>
      <w:r w:rsidRPr="00A77F0D">
        <w:rPr>
          <w:iCs/>
          <w:szCs w:val="22"/>
          <w:lang w:val="nl-BE"/>
        </w:rPr>
        <w:t>ommissarissen</w:t>
      </w:r>
      <w:r w:rsidR="00A77F0D">
        <w:rPr>
          <w:i/>
          <w:szCs w:val="22"/>
          <w:lang w:val="nl-BE"/>
        </w:rPr>
        <w:t xml:space="preserve">. </w:t>
      </w:r>
      <w:r w:rsidRPr="0032351D">
        <w:rPr>
          <w:szCs w:val="22"/>
          <w:lang w:val="nl-BE"/>
        </w:rPr>
        <w:t xml:space="preserve">Onze verantwoordelijkheden op grond van deze standaarden zijn verder beschreven in de sectie </w:t>
      </w:r>
      <w:r w:rsidR="00A77F0D">
        <w:rPr>
          <w:szCs w:val="22"/>
          <w:lang w:val="nl-BE"/>
        </w:rPr>
        <w:t>“</w:t>
      </w:r>
      <w:r w:rsidRPr="0032351D">
        <w:rPr>
          <w:i/>
          <w:szCs w:val="22"/>
          <w:lang w:val="nl-BE"/>
        </w:rPr>
        <w:t xml:space="preserve">Verantwoordelijkheden van de </w:t>
      </w:r>
      <w:r w:rsidR="0095403E">
        <w:rPr>
          <w:i/>
          <w:szCs w:val="22"/>
          <w:lang w:val="nl-BE"/>
        </w:rPr>
        <w:t>c</w:t>
      </w:r>
      <w:r w:rsidRPr="0032351D">
        <w:rPr>
          <w:i/>
          <w:szCs w:val="22"/>
          <w:lang w:val="nl-BE"/>
        </w:rPr>
        <w:t>ommissaris</w:t>
      </w:r>
      <w:r w:rsidR="00A77F0D">
        <w:rPr>
          <w:i/>
          <w:szCs w:val="22"/>
          <w:lang w:val="nl-BE"/>
        </w:rPr>
        <w:t xml:space="preserve">” </w:t>
      </w:r>
      <w:r w:rsidRPr="0032351D">
        <w:rPr>
          <w:szCs w:val="22"/>
          <w:lang w:val="nl-BE"/>
        </w:rPr>
        <w:t>van dit verslag.</w:t>
      </w:r>
    </w:p>
    <w:p w14:paraId="71DD0B3F" w14:textId="77777777" w:rsidR="00E80257" w:rsidRPr="0032351D" w:rsidRDefault="00E80257" w:rsidP="00AF0530">
      <w:pPr>
        <w:jc w:val="both"/>
        <w:rPr>
          <w:szCs w:val="22"/>
          <w:lang w:val="nl-BE"/>
        </w:rPr>
      </w:pPr>
    </w:p>
    <w:p w14:paraId="48056FDD" w14:textId="3E5A7DD2" w:rsidR="00E80257" w:rsidRPr="0032351D" w:rsidRDefault="00E80257" w:rsidP="00AF0530">
      <w:pPr>
        <w:jc w:val="both"/>
        <w:rPr>
          <w:szCs w:val="22"/>
          <w:lang w:val="nl-BE"/>
        </w:rPr>
      </w:pPr>
      <w:r w:rsidRPr="0032351D">
        <w:rPr>
          <w:szCs w:val="22"/>
          <w:lang w:val="nl-BE"/>
        </w:rPr>
        <w:lastRenderedPageBreak/>
        <w:t xml:space="preserve">Ons verslag omvat ons oordeel over de opstelling </w:t>
      </w:r>
      <w:r w:rsidR="00D32100">
        <w:rPr>
          <w:szCs w:val="22"/>
          <w:lang w:val="nl-BE"/>
        </w:rPr>
        <w:t xml:space="preserve">van de financiële gegevens opgenomen in de statistische staten </w:t>
      </w:r>
      <w:r w:rsidRPr="0032351D">
        <w:rPr>
          <w:szCs w:val="22"/>
          <w:lang w:val="nl-BE"/>
        </w:rPr>
        <w:t>overeenkomstig de vereiste bevestigingen aangaande onder meer de juistheid en de volledigheid van deze statisti</w:t>
      </w:r>
      <w:r w:rsidR="00394548">
        <w:rPr>
          <w:szCs w:val="22"/>
          <w:lang w:val="nl-BE"/>
        </w:rPr>
        <w:t>sche sta</w:t>
      </w:r>
      <w:r w:rsidR="00D32100">
        <w:rPr>
          <w:szCs w:val="22"/>
          <w:lang w:val="nl-BE"/>
        </w:rPr>
        <w:t>ten</w:t>
      </w:r>
      <w:r w:rsidRPr="0032351D">
        <w:rPr>
          <w:szCs w:val="22"/>
          <w:lang w:val="nl-BE"/>
        </w:rPr>
        <w:t xml:space="preserve"> en de toepassing van de boeking- en waarderingsregels.</w:t>
      </w:r>
    </w:p>
    <w:p w14:paraId="13A1546B" w14:textId="77777777" w:rsidR="00E80257" w:rsidRPr="0032351D" w:rsidRDefault="00E80257" w:rsidP="00AF0530">
      <w:pPr>
        <w:jc w:val="both"/>
        <w:rPr>
          <w:szCs w:val="22"/>
          <w:lang w:val="nl-BE"/>
        </w:rPr>
      </w:pPr>
    </w:p>
    <w:p w14:paraId="2F304C43" w14:textId="77777777" w:rsidR="00E80257" w:rsidRPr="0032351D" w:rsidRDefault="00E80257" w:rsidP="00AF0530">
      <w:pPr>
        <w:spacing w:line="240" w:lineRule="auto"/>
        <w:jc w:val="both"/>
        <w:rPr>
          <w:szCs w:val="22"/>
          <w:lang w:val="nl-BE"/>
        </w:rPr>
      </w:pPr>
      <w:r w:rsidRPr="0032351D">
        <w:rPr>
          <w:szCs w:val="22"/>
          <w:lang w:val="nl-BE"/>
        </w:rPr>
        <w:t>Wij zijn van mening dat de door ons verkregen controle-informatie voldoende en geschikt is als basis voor ons oordeel.</w:t>
      </w:r>
    </w:p>
    <w:p w14:paraId="7BF997B8" w14:textId="77777777" w:rsidR="004564CE" w:rsidRDefault="004564CE" w:rsidP="00AF0530">
      <w:pPr>
        <w:jc w:val="both"/>
        <w:rPr>
          <w:b/>
          <w:i/>
          <w:szCs w:val="22"/>
          <w:lang w:val="nl-BE"/>
        </w:rPr>
      </w:pPr>
    </w:p>
    <w:p w14:paraId="313E7251" w14:textId="6BDAEA9A" w:rsidR="00E80257" w:rsidRPr="0032351D" w:rsidRDefault="00E80257" w:rsidP="00AF0530">
      <w:pPr>
        <w:jc w:val="both"/>
        <w:rPr>
          <w:b/>
          <w:i/>
          <w:szCs w:val="22"/>
          <w:lang w:val="nl-BE"/>
        </w:rPr>
      </w:pPr>
      <w:r w:rsidRPr="0032351D">
        <w:rPr>
          <w:b/>
          <w:i/>
          <w:szCs w:val="22"/>
          <w:lang w:val="nl-BE"/>
        </w:rPr>
        <w:t xml:space="preserve">Verantwoordelijkheid van </w:t>
      </w:r>
      <w:r w:rsidR="00513E0F">
        <w:rPr>
          <w:b/>
          <w:i/>
          <w:szCs w:val="22"/>
          <w:lang w:val="nl-BE"/>
        </w:rPr>
        <w:t>[“</w:t>
      </w:r>
      <w:r w:rsidR="00855668">
        <w:rPr>
          <w:b/>
          <w:i/>
          <w:szCs w:val="22"/>
          <w:lang w:val="nl-BE"/>
        </w:rPr>
        <w:t xml:space="preserve">de </w:t>
      </w:r>
      <w:r w:rsidRPr="0032351D">
        <w:rPr>
          <w:b/>
          <w:i/>
          <w:szCs w:val="22"/>
          <w:lang w:val="nl-BE"/>
        </w:rPr>
        <w:t>effectieve leiding</w:t>
      </w:r>
      <w:r w:rsidR="00513E0F">
        <w:rPr>
          <w:b/>
          <w:i/>
          <w:szCs w:val="22"/>
          <w:lang w:val="nl-BE"/>
        </w:rPr>
        <w:t>” of “</w:t>
      </w:r>
      <w:r w:rsidR="00855668">
        <w:rPr>
          <w:b/>
          <w:i/>
          <w:szCs w:val="22"/>
          <w:lang w:val="nl-BE"/>
        </w:rPr>
        <w:t xml:space="preserve">het </w:t>
      </w:r>
      <w:r w:rsidR="00513E0F">
        <w:rPr>
          <w:b/>
          <w:i/>
          <w:szCs w:val="22"/>
          <w:lang w:val="nl-BE"/>
        </w:rPr>
        <w:t>directiecomité”, naar gelang</w:t>
      </w:r>
      <w:r w:rsidR="00855668">
        <w:rPr>
          <w:b/>
          <w:i/>
          <w:szCs w:val="22"/>
          <w:lang w:val="nl-BE"/>
        </w:rPr>
        <w:t>]</w:t>
      </w:r>
      <w:r w:rsidRPr="0032351D">
        <w:rPr>
          <w:b/>
          <w:i/>
          <w:szCs w:val="22"/>
          <w:lang w:val="nl-BE"/>
        </w:rPr>
        <w:t xml:space="preserve"> voor de </w:t>
      </w:r>
      <w:r w:rsidR="00D32100" w:rsidRPr="00D32100">
        <w:rPr>
          <w:b/>
          <w:i/>
          <w:szCs w:val="22"/>
          <w:lang w:val="nl-BE"/>
        </w:rPr>
        <w:t>financiële gegevens opgenomen in de statistische staten</w:t>
      </w:r>
    </w:p>
    <w:p w14:paraId="43B46CA9" w14:textId="77777777" w:rsidR="00E80257" w:rsidRPr="0032351D" w:rsidRDefault="00E80257" w:rsidP="00AF0530">
      <w:pPr>
        <w:jc w:val="both"/>
        <w:rPr>
          <w:b/>
          <w:i/>
          <w:szCs w:val="22"/>
          <w:lang w:val="nl-BE"/>
        </w:rPr>
      </w:pPr>
    </w:p>
    <w:p w14:paraId="7BB9640F" w14:textId="2777B8BC" w:rsidR="00E80257" w:rsidRPr="0032351D" w:rsidRDefault="00855668" w:rsidP="00AF0530">
      <w:pPr>
        <w:jc w:val="both"/>
        <w:rPr>
          <w:szCs w:val="22"/>
          <w:lang w:val="nl-BE"/>
        </w:rPr>
      </w:pPr>
      <w:r>
        <w:rPr>
          <w:szCs w:val="22"/>
          <w:lang w:val="nl-BE"/>
        </w:rPr>
        <w:t>[</w:t>
      </w:r>
      <w:r w:rsidR="00E80257" w:rsidRPr="008E6E94">
        <w:rPr>
          <w:i/>
          <w:iCs/>
          <w:szCs w:val="22"/>
          <w:lang w:val="nl-BE"/>
        </w:rPr>
        <w:t xml:space="preserve">De </w:t>
      </w:r>
      <w:r w:rsidRPr="008E6E94">
        <w:rPr>
          <w:i/>
          <w:iCs/>
          <w:szCs w:val="22"/>
          <w:lang w:val="nl-BE"/>
        </w:rPr>
        <w:t>“</w:t>
      </w:r>
      <w:r w:rsidR="00E80257" w:rsidRPr="008E6E94">
        <w:rPr>
          <w:i/>
          <w:iCs/>
          <w:szCs w:val="22"/>
          <w:lang w:val="nl-BE"/>
        </w:rPr>
        <w:t>effectieve leiding</w:t>
      </w:r>
      <w:r w:rsidRPr="008E6E94">
        <w:rPr>
          <w:i/>
          <w:iCs/>
          <w:szCs w:val="22"/>
          <w:lang w:val="nl-BE"/>
        </w:rPr>
        <w:t>” of het “directie</w:t>
      </w:r>
      <w:r w:rsidR="008E6E94" w:rsidRPr="008E6E94">
        <w:rPr>
          <w:i/>
          <w:iCs/>
          <w:szCs w:val="22"/>
          <w:lang w:val="nl-BE"/>
        </w:rPr>
        <w:t>comité”, naar gelang]</w:t>
      </w:r>
      <w:r w:rsidR="00E80257" w:rsidRPr="0032351D">
        <w:rPr>
          <w:szCs w:val="22"/>
          <w:lang w:val="nl-BE"/>
        </w:rPr>
        <w:t xml:space="preserve"> is, onder het toezicht van het bestuursorgaan </w:t>
      </w:r>
      <w:r w:rsidR="00656060" w:rsidRPr="00656060">
        <w:rPr>
          <w:i/>
          <w:iCs/>
          <w:szCs w:val="22"/>
          <w:lang w:val="nl-BE"/>
        </w:rPr>
        <w:t>[</w:t>
      </w:r>
      <w:r w:rsidR="008E6E94">
        <w:rPr>
          <w:i/>
          <w:szCs w:val="22"/>
          <w:lang w:val="nl-BE"/>
        </w:rPr>
        <w:t xml:space="preserve">of </w:t>
      </w:r>
      <w:r w:rsidR="007637FA">
        <w:rPr>
          <w:i/>
          <w:szCs w:val="22"/>
          <w:lang w:val="nl-BE"/>
        </w:rPr>
        <w:t>“</w:t>
      </w:r>
      <w:r w:rsidR="00E80257" w:rsidRPr="0032351D">
        <w:rPr>
          <w:i/>
          <w:szCs w:val="22"/>
          <w:lang w:val="nl-BE"/>
        </w:rPr>
        <w:t>het bestuursorgaan van de aangestelde b</w:t>
      </w:r>
      <w:r w:rsidR="00E80257" w:rsidRPr="008E6E94">
        <w:rPr>
          <w:i/>
          <w:szCs w:val="22"/>
          <w:lang w:val="nl-BE"/>
        </w:rPr>
        <w:t>eheervennootschap</w:t>
      </w:r>
      <w:r w:rsidR="007637FA">
        <w:rPr>
          <w:i/>
          <w:szCs w:val="22"/>
          <w:lang w:val="nl-BE"/>
        </w:rPr>
        <w:t>”</w:t>
      </w:r>
      <w:r w:rsidR="00E80257" w:rsidRPr="00AF0530">
        <w:rPr>
          <w:iCs/>
          <w:szCs w:val="22"/>
          <w:lang w:val="nl-BE"/>
        </w:rPr>
        <w:t>, naargelang], verantwoordelijk voor de opstelling van de</w:t>
      </w:r>
      <w:r w:rsidR="00AF0530" w:rsidRPr="00AF0530">
        <w:rPr>
          <w:iCs/>
          <w:szCs w:val="22"/>
          <w:lang w:val="nl-BE"/>
        </w:rPr>
        <w:t xml:space="preserve"> </w:t>
      </w:r>
      <w:r w:rsidR="00D32100" w:rsidRPr="00D32100">
        <w:rPr>
          <w:iCs/>
          <w:szCs w:val="22"/>
          <w:lang w:val="nl-BE"/>
        </w:rPr>
        <w:t xml:space="preserve">financiële gegevens opgenomen in de statistische staten </w:t>
      </w:r>
      <w:r w:rsidR="00E80257" w:rsidRPr="0032351D">
        <w:rPr>
          <w:szCs w:val="22"/>
          <w:lang w:val="nl-BE"/>
        </w:rPr>
        <w:t xml:space="preserve">in overeenstemming met de geldende richtlijnen van de FSMA alsook voor het implementeren van een zodanige interne </w:t>
      </w:r>
      <w:r w:rsidR="00982361">
        <w:rPr>
          <w:szCs w:val="22"/>
          <w:lang w:val="nl-BE"/>
        </w:rPr>
        <w:t>beheersing</w:t>
      </w:r>
      <w:r w:rsidR="00E80257" w:rsidRPr="0032351D">
        <w:rPr>
          <w:szCs w:val="22"/>
          <w:lang w:val="nl-BE"/>
        </w:rPr>
        <w:t xml:space="preserve"> als de </w:t>
      </w:r>
      <w:r w:rsidR="00982361">
        <w:rPr>
          <w:szCs w:val="22"/>
          <w:lang w:val="nl-BE"/>
        </w:rPr>
        <w:t xml:space="preserve">[“de </w:t>
      </w:r>
      <w:r w:rsidR="00E80257" w:rsidRPr="0032351D">
        <w:rPr>
          <w:szCs w:val="22"/>
          <w:lang w:val="nl-BE"/>
        </w:rPr>
        <w:t>effectieve leiding</w:t>
      </w:r>
      <w:r w:rsidR="00982361">
        <w:rPr>
          <w:szCs w:val="22"/>
          <w:lang w:val="nl-BE"/>
        </w:rPr>
        <w:t>” of “</w:t>
      </w:r>
      <w:r w:rsidR="00982361" w:rsidRPr="00982361">
        <w:rPr>
          <w:i/>
          <w:iCs/>
          <w:szCs w:val="22"/>
          <w:lang w:val="nl-BE"/>
        </w:rPr>
        <w:t>het directiecomité</w:t>
      </w:r>
      <w:r w:rsidR="00982361">
        <w:rPr>
          <w:szCs w:val="22"/>
          <w:lang w:val="nl-BE"/>
        </w:rPr>
        <w:t>”]</w:t>
      </w:r>
      <w:r w:rsidR="00E80257" w:rsidRPr="0032351D">
        <w:rPr>
          <w:szCs w:val="22"/>
          <w:lang w:val="nl-BE"/>
        </w:rPr>
        <w:t xml:space="preserve"> noodzakelijk acht </w:t>
      </w:r>
      <w:r w:rsidR="001825F2">
        <w:rPr>
          <w:szCs w:val="22"/>
          <w:lang w:val="nl-BE"/>
        </w:rPr>
        <w:t xml:space="preserve">voor </w:t>
      </w:r>
      <w:r w:rsidR="00E80257" w:rsidRPr="0032351D">
        <w:rPr>
          <w:szCs w:val="22"/>
          <w:lang w:val="nl-BE"/>
        </w:rPr>
        <w:t xml:space="preserve">het opstellen van </w:t>
      </w:r>
      <w:r w:rsidR="001825F2">
        <w:rPr>
          <w:szCs w:val="22"/>
          <w:lang w:val="nl-BE"/>
        </w:rPr>
        <w:t xml:space="preserve">de </w:t>
      </w:r>
      <w:r w:rsidR="00D32100">
        <w:rPr>
          <w:szCs w:val="22"/>
          <w:lang w:val="nl-BE"/>
        </w:rPr>
        <w:t xml:space="preserve">financiële gegevens opgenomen in de statistische staten </w:t>
      </w:r>
      <w:r w:rsidR="00E80257" w:rsidRPr="0032351D">
        <w:rPr>
          <w:szCs w:val="22"/>
          <w:lang w:val="nl-BE"/>
        </w:rPr>
        <w:t>die geen afwijking van materieel belang bevatten die het gevolg is van fraude of van fouten.</w:t>
      </w:r>
    </w:p>
    <w:p w14:paraId="12409D65" w14:textId="77777777" w:rsidR="00E80257" w:rsidRPr="0032351D" w:rsidRDefault="00E80257" w:rsidP="00AF0530">
      <w:pPr>
        <w:jc w:val="both"/>
        <w:rPr>
          <w:szCs w:val="22"/>
          <w:lang w:val="nl-BE"/>
        </w:rPr>
      </w:pPr>
    </w:p>
    <w:p w14:paraId="53E2EE9A" w14:textId="74DD7D3C" w:rsidR="00E80257" w:rsidRPr="0032351D" w:rsidRDefault="00E80257" w:rsidP="00AF0530">
      <w:pPr>
        <w:jc w:val="both"/>
        <w:rPr>
          <w:b/>
          <w:i/>
          <w:szCs w:val="22"/>
          <w:lang w:val="nl-BE"/>
        </w:rPr>
      </w:pPr>
      <w:r w:rsidRPr="0032351D">
        <w:rPr>
          <w:b/>
          <w:i/>
          <w:szCs w:val="22"/>
          <w:lang w:val="nl-BE"/>
        </w:rPr>
        <w:t>Verantwoordelijkheid van de</w:t>
      </w:r>
      <w:r w:rsidR="00B7088B" w:rsidRPr="00A77F0D">
        <w:rPr>
          <w:b/>
          <w:i/>
          <w:szCs w:val="22"/>
          <w:lang w:val="nl-BE"/>
        </w:rPr>
        <w:t xml:space="preserve"> </w:t>
      </w:r>
      <w:r w:rsidR="00A77F0D" w:rsidRPr="00A77F0D">
        <w:rPr>
          <w:rFonts w:eastAsia="MingLiU"/>
          <w:b/>
          <w:bCs/>
          <w:i/>
          <w:szCs w:val="22"/>
          <w:lang w:val="nl-BE"/>
        </w:rPr>
        <w:t>c</w:t>
      </w:r>
      <w:r w:rsidR="00B7088B" w:rsidRPr="00A77F0D">
        <w:rPr>
          <w:rFonts w:eastAsia="MingLiU"/>
          <w:b/>
          <w:bCs/>
          <w:i/>
          <w:szCs w:val="22"/>
          <w:lang w:val="nl-BE"/>
        </w:rPr>
        <w:t>ommissaris</w:t>
      </w:r>
      <w:r w:rsidRPr="00A77F0D">
        <w:rPr>
          <w:b/>
          <w:iCs/>
          <w:szCs w:val="22"/>
          <w:lang w:val="nl-BE"/>
        </w:rPr>
        <w:t xml:space="preserve"> </w:t>
      </w:r>
      <w:r w:rsidRPr="0032351D">
        <w:rPr>
          <w:b/>
          <w:i/>
          <w:szCs w:val="22"/>
          <w:lang w:val="nl-BE"/>
        </w:rPr>
        <w:t xml:space="preserve">voor de </w:t>
      </w:r>
      <w:r w:rsidR="00D32100" w:rsidRPr="00D32100">
        <w:rPr>
          <w:b/>
          <w:i/>
          <w:szCs w:val="22"/>
          <w:lang w:val="nl-BE"/>
        </w:rPr>
        <w:t>financiële gegevens opgenomen in de statistische staten</w:t>
      </w:r>
    </w:p>
    <w:p w14:paraId="43E86BA7" w14:textId="77777777" w:rsidR="00E80257" w:rsidRPr="0032351D" w:rsidRDefault="00E80257" w:rsidP="00AF0530">
      <w:pPr>
        <w:jc w:val="both"/>
        <w:rPr>
          <w:b/>
          <w:i/>
          <w:szCs w:val="22"/>
          <w:lang w:val="nl-BE"/>
        </w:rPr>
      </w:pPr>
    </w:p>
    <w:p w14:paraId="4676BA1D" w14:textId="592C4E93" w:rsidR="00E80257" w:rsidRPr="0032351D" w:rsidRDefault="00E80257" w:rsidP="00AF0530">
      <w:pPr>
        <w:jc w:val="both"/>
        <w:rPr>
          <w:szCs w:val="22"/>
          <w:lang w:val="nl-BE"/>
        </w:rPr>
      </w:pPr>
      <w:r w:rsidRPr="0032351D">
        <w:rPr>
          <w:szCs w:val="22"/>
          <w:lang w:val="nl-BE"/>
        </w:rPr>
        <w:t xml:space="preserve">Het is onze verantwoordelijkheid een oordeel over de </w:t>
      </w:r>
      <w:r w:rsidR="00D32100" w:rsidRPr="00D32100">
        <w:rPr>
          <w:szCs w:val="22"/>
          <w:lang w:val="nl-BE"/>
        </w:rPr>
        <w:t xml:space="preserve">financiële gegevens opgenomen in de statistische staten </w:t>
      </w:r>
      <w:r w:rsidRPr="0032351D">
        <w:rPr>
          <w:szCs w:val="22"/>
          <w:lang w:val="nl-BE"/>
        </w:rPr>
        <w:t>tot uitdrukking te brengen op basis van onze controle. Wij hebben onze controle uitgevoerd overeenkomstig de Internationale Controlestandaarden</w:t>
      </w:r>
      <w:r w:rsidR="00102F2B">
        <w:rPr>
          <w:szCs w:val="22"/>
          <w:lang w:val="nl-BE"/>
        </w:rPr>
        <w:t xml:space="preserve"> (ISA’s)</w:t>
      </w:r>
      <w:r w:rsidRPr="0032351D">
        <w:rPr>
          <w:szCs w:val="22"/>
          <w:lang w:val="nl-BE"/>
        </w:rPr>
        <w:t xml:space="preserve">, zoals aangenomen in België, en de richtlijnen van de FSMA aan de erkende revisoren. Deze standaarden en richtlijnen vereisen dat wij ethische voorschriften naleven en de controle plannen en uitvoeren om een redelijke mate van zekerheid te verkrijgen dat de </w:t>
      </w:r>
      <w:r w:rsidR="00D32100">
        <w:rPr>
          <w:szCs w:val="22"/>
          <w:lang w:val="nl-BE"/>
        </w:rPr>
        <w:t xml:space="preserve">financiële gegevens opgenomen in de statistische staten </w:t>
      </w:r>
      <w:r w:rsidRPr="0032351D">
        <w:rPr>
          <w:szCs w:val="22"/>
          <w:lang w:val="nl-BE"/>
        </w:rPr>
        <w:t>geen afwijkingen van materieel belang bevatten.</w:t>
      </w:r>
    </w:p>
    <w:p w14:paraId="53CEB935" w14:textId="77777777" w:rsidR="00E80257" w:rsidRPr="0032351D" w:rsidRDefault="00E80257" w:rsidP="00AF0530">
      <w:pPr>
        <w:jc w:val="both"/>
        <w:rPr>
          <w:szCs w:val="22"/>
          <w:lang w:val="nl-BE"/>
        </w:rPr>
      </w:pPr>
    </w:p>
    <w:p w14:paraId="3CA41BD1" w14:textId="1697C155" w:rsidR="00E80257" w:rsidRPr="0032351D" w:rsidRDefault="00E80257" w:rsidP="00AF0530">
      <w:pPr>
        <w:spacing w:line="240" w:lineRule="auto"/>
        <w:jc w:val="both"/>
        <w:rPr>
          <w:b/>
          <w:i/>
          <w:szCs w:val="22"/>
          <w:lang w:val="nl-BE"/>
        </w:rPr>
      </w:pPr>
      <w:r w:rsidRPr="0032351D">
        <w:rPr>
          <w:szCs w:val="22"/>
          <w:lang w:val="nl-BE"/>
        </w:rPr>
        <w:t>Een controle omvat het uitvoeren van werkzaamheden ter verkrijging van controle-informatie over de in de statisti</w:t>
      </w:r>
      <w:r w:rsidR="00954643">
        <w:rPr>
          <w:szCs w:val="22"/>
          <w:lang w:val="nl-BE"/>
        </w:rPr>
        <w:t>sche sta</w:t>
      </w:r>
      <w:r w:rsidR="00BF1D06">
        <w:rPr>
          <w:szCs w:val="22"/>
          <w:lang w:val="nl-BE"/>
        </w:rPr>
        <w:t>ten</w:t>
      </w:r>
      <w:r w:rsidR="00923A04" w:rsidRPr="0032351D">
        <w:rPr>
          <w:szCs w:val="22"/>
          <w:lang w:val="nl-BE"/>
        </w:rPr>
        <w:t xml:space="preserve"> </w:t>
      </w:r>
      <w:r w:rsidRPr="0032351D">
        <w:rPr>
          <w:szCs w:val="22"/>
          <w:lang w:val="nl-BE"/>
        </w:rPr>
        <w:t xml:space="preserve">opgenomen </w:t>
      </w:r>
      <w:r w:rsidR="00BF1D06">
        <w:rPr>
          <w:szCs w:val="22"/>
          <w:lang w:val="nl-BE"/>
        </w:rPr>
        <w:t xml:space="preserve">financiële </w:t>
      </w:r>
      <w:r w:rsidRPr="0032351D">
        <w:rPr>
          <w:szCs w:val="22"/>
          <w:lang w:val="nl-BE"/>
        </w:rPr>
        <w:t xml:space="preserve">bedragen en toelichtingen. De geselecteerde werkzaamheden zijn afhankelijk van de door de </w:t>
      </w:r>
      <w:r w:rsidR="00954643">
        <w:rPr>
          <w:szCs w:val="22"/>
          <w:lang w:val="nl-BE"/>
        </w:rPr>
        <w:t>[</w:t>
      </w:r>
      <w:r w:rsidR="00954643" w:rsidRPr="00954643">
        <w:rPr>
          <w:i/>
          <w:iCs/>
          <w:szCs w:val="22"/>
          <w:lang w:val="nl-BE"/>
        </w:rPr>
        <w:t>“c</w:t>
      </w:r>
      <w:r w:rsidRPr="00954643">
        <w:rPr>
          <w:i/>
          <w:iCs/>
          <w:szCs w:val="22"/>
          <w:lang w:val="nl-BE"/>
        </w:rPr>
        <w:t>ommissaris</w:t>
      </w:r>
      <w:r w:rsidR="00954643" w:rsidRPr="00954643">
        <w:rPr>
          <w:i/>
          <w:iCs/>
          <w:szCs w:val="22"/>
          <w:lang w:val="nl-BE"/>
        </w:rPr>
        <w:t>” of “erkend revisor”, naar gelang</w:t>
      </w:r>
      <w:r w:rsidR="00954643">
        <w:rPr>
          <w:szCs w:val="22"/>
          <w:lang w:val="nl-BE"/>
        </w:rPr>
        <w:t>]</w:t>
      </w:r>
      <w:r w:rsidRPr="0032351D">
        <w:rPr>
          <w:szCs w:val="22"/>
          <w:lang w:val="nl-BE"/>
        </w:rPr>
        <w:t xml:space="preserve"> toegepaste oordeelsvorming, met inbegrip van diens inschatting van de risico’s van een afwijking van materieel belang in de statisti</w:t>
      </w:r>
      <w:r w:rsidR="00863ED2">
        <w:rPr>
          <w:szCs w:val="22"/>
          <w:lang w:val="nl-BE"/>
        </w:rPr>
        <w:t>sche staten</w:t>
      </w:r>
      <w:r w:rsidRPr="0032351D">
        <w:rPr>
          <w:szCs w:val="22"/>
          <w:lang w:val="nl-BE"/>
        </w:rPr>
        <w:t xml:space="preserve">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t>
      </w:r>
      <w:r w:rsidRPr="0032351D">
        <w:rPr>
          <w:i/>
          <w:szCs w:val="22"/>
          <w:lang w:val="nl-BE"/>
        </w:rPr>
        <w:t xml:space="preserve"> </w:t>
      </w:r>
      <w:r w:rsidRPr="0032351D">
        <w:rPr>
          <w:szCs w:val="22"/>
          <w:lang w:val="nl-BE"/>
        </w:rPr>
        <w:t xml:space="preserve">de </w:t>
      </w:r>
      <w:r w:rsidR="00BF1D06">
        <w:rPr>
          <w:szCs w:val="22"/>
          <w:lang w:val="nl-BE"/>
        </w:rPr>
        <w:t>[</w:t>
      </w:r>
      <w:r w:rsidR="00BF1D06" w:rsidRPr="00954643">
        <w:rPr>
          <w:i/>
          <w:iCs/>
          <w:szCs w:val="22"/>
          <w:lang w:val="nl-BE"/>
        </w:rPr>
        <w:t>“commissaris” of “erkend revisor”, naar gelang</w:t>
      </w:r>
      <w:r w:rsidR="00BF1D06">
        <w:rPr>
          <w:szCs w:val="22"/>
          <w:lang w:val="nl-BE"/>
        </w:rPr>
        <w:t>]</w:t>
      </w:r>
      <w:r w:rsidRPr="0032351D">
        <w:rPr>
          <w:szCs w:val="22"/>
          <w:lang w:val="nl-BE"/>
        </w:rPr>
        <w:t xml:space="preserve"> de interne controle in overweging die relevant is voor de door de instelling op te stellen </w:t>
      </w:r>
      <w:r w:rsidR="001825F2">
        <w:rPr>
          <w:szCs w:val="22"/>
          <w:lang w:val="nl-BE"/>
        </w:rPr>
        <w:t xml:space="preserve">statistische </w:t>
      </w:r>
      <w:r w:rsidR="00070A1E">
        <w:rPr>
          <w:szCs w:val="22"/>
          <w:lang w:val="nl-BE"/>
        </w:rPr>
        <w:t>staten</w:t>
      </w:r>
      <w:r w:rsidRPr="0032351D">
        <w:rPr>
          <w:szCs w:val="22"/>
          <w:lang w:val="nl-BE"/>
        </w:rPr>
        <w:t>. Een controle omvat tevens een evaluatie van de geschiktheid van de gebruikte grondslagen voor financiële verslaggeving en van de redelijkheid van de door de effectieve leiding</w:t>
      </w:r>
      <w:r w:rsidRPr="0032351D">
        <w:rPr>
          <w:i/>
          <w:szCs w:val="22"/>
          <w:lang w:val="nl-BE"/>
        </w:rPr>
        <w:t xml:space="preserve"> </w:t>
      </w:r>
      <w:r w:rsidRPr="0032351D">
        <w:rPr>
          <w:szCs w:val="22"/>
          <w:lang w:val="nl-BE"/>
        </w:rPr>
        <w:t xml:space="preserve">gemaakte inschattingen, alsmede een evaluatie van de algehele presentatie van de </w:t>
      </w:r>
      <w:r w:rsidR="00BF1D06">
        <w:rPr>
          <w:szCs w:val="22"/>
          <w:lang w:val="nl-BE"/>
        </w:rPr>
        <w:t>financiële gegevens opgenomen in de statistische staten</w:t>
      </w:r>
      <w:r w:rsidRPr="0032351D">
        <w:rPr>
          <w:szCs w:val="22"/>
          <w:lang w:val="nl-BE"/>
        </w:rPr>
        <w:t>.</w:t>
      </w:r>
    </w:p>
    <w:p w14:paraId="7ECBFA89" w14:textId="77777777" w:rsidR="00E80257" w:rsidRPr="0032351D" w:rsidRDefault="00E80257" w:rsidP="00AF0530">
      <w:pPr>
        <w:jc w:val="both"/>
        <w:rPr>
          <w:szCs w:val="22"/>
          <w:lang w:val="nl-BE"/>
        </w:rPr>
      </w:pPr>
    </w:p>
    <w:p w14:paraId="72576343" w14:textId="1466E2BC" w:rsidR="00E80257" w:rsidRPr="0032351D" w:rsidRDefault="00E80257" w:rsidP="00AF0530">
      <w:pPr>
        <w:jc w:val="both"/>
        <w:rPr>
          <w:szCs w:val="22"/>
          <w:lang w:val="nl-BE"/>
        </w:rPr>
      </w:pPr>
      <w:r w:rsidRPr="0032351D">
        <w:rPr>
          <w:b/>
          <w:i/>
          <w:szCs w:val="22"/>
          <w:lang w:val="nl-BE"/>
        </w:rPr>
        <w:t>B</w:t>
      </w:r>
      <w:r w:rsidR="00E97943">
        <w:rPr>
          <w:b/>
          <w:i/>
          <w:szCs w:val="22"/>
          <w:lang w:val="nl-BE"/>
        </w:rPr>
        <w:t>ijkomende bevestigingen</w:t>
      </w:r>
    </w:p>
    <w:p w14:paraId="1D87E72B" w14:textId="77777777" w:rsidR="00E80257" w:rsidRPr="00EA528E" w:rsidRDefault="00E80257" w:rsidP="00AF0530">
      <w:pPr>
        <w:jc w:val="both"/>
        <w:rPr>
          <w:szCs w:val="22"/>
          <w:lang w:val="nl-BE"/>
        </w:rPr>
      </w:pPr>
    </w:p>
    <w:p w14:paraId="01BC30C5" w14:textId="77777777" w:rsidR="00E80257" w:rsidRPr="0032351D" w:rsidRDefault="00E80257" w:rsidP="00AF0530">
      <w:pPr>
        <w:tabs>
          <w:tab w:val="num" w:pos="540"/>
        </w:tabs>
        <w:jc w:val="both"/>
        <w:rPr>
          <w:szCs w:val="22"/>
          <w:lang w:val="nl-BE"/>
        </w:rPr>
      </w:pPr>
      <w:r w:rsidRPr="0032351D">
        <w:rPr>
          <w:szCs w:val="22"/>
          <w:lang w:val="nl-BE"/>
        </w:rPr>
        <w:t>Op basis van onze werkzaamheden bevestigen wij bovendien dat:</w:t>
      </w:r>
    </w:p>
    <w:p w14:paraId="2BA7A85F" w14:textId="77777777" w:rsidR="00E80257" w:rsidRPr="0032351D" w:rsidRDefault="00E80257" w:rsidP="00AF0530">
      <w:pPr>
        <w:tabs>
          <w:tab w:val="num" w:pos="540"/>
        </w:tabs>
        <w:jc w:val="both"/>
        <w:rPr>
          <w:szCs w:val="22"/>
          <w:lang w:val="nl-BE"/>
        </w:rPr>
      </w:pPr>
    </w:p>
    <w:p w14:paraId="59F2FDD5" w14:textId="0A97D243" w:rsidR="00E80257" w:rsidRPr="0032351D" w:rsidRDefault="00E80257" w:rsidP="00E97943">
      <w:pPr>
        <w:numPr>
          <w:ilvl w:val="0"/>
          <w:numId w:val="13"/>
        </w:numPr>
        <w:spacing w:line="240" w:lineRule="auto"/>
        <w:ind w:left="426" w:hanging="426"/>
        <w:jc w:val="both"/>
        <w:rPr>
          <w:szCs w:val="22"/>
          <w:lang w:val="nl-BE"/>
        </w:rPr>
      </w:pPr>
      <w:r w:rsidRPr="0032351D">
        <w:rPr>
          <w:szCs w:val="22"/>
          <w:lang w:val="nl-BE"/>
        </w:rPr>
        <w:t xml:space="preserve">de </w:t>
      </w:r>
      <w:r w:rsidR="00BF1D06">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voor wat de boekhoudkundige gegevens betreft, in alle materieel belangrijke opzichten in overeenstemming </w:t>
      </w:r>
      <w:r w:rsidR="00BF1D06">
        <w:rPr>
          <w:szCs w:val="22"/>
          <w:lang w:val="nl-BE"/>
        </w:rPr>
        <w:t>zijn</w:t>
      </w:r>
      <w:r w:rsidRPr="0032351D">
        <w:rPr>
          <w:szCs w:val="22"/>
          <w:lang w:val="nl-BE"/>
        </w:rPr>
        <w:t xml:space="preserve"> met de boekhouding en de inventarissen inzake volledigheid, dit is alle gegevens bevatten uit de boekhouding en de inventarissen op basis waarvan de statisti</w:t>
      </w:r>
      <w:r w:rsidR="00BE4C8F">
        <w:rPr>
          <w:szCs w:val="22"/>
          <w:lang w:val="nl-BE"/>
        </w:rPr>
        <w:t>sche sta</w:t>
      </w:r>
      <w:r w:rsidR="001134BE">
        <w:rPr>
          <w:szCs w:val="22"/>
          <w:lang w:val="nl-BE"/>
        </w:rPr>
        <w:t>at</w:t>
      </w:r>
      <w:r w:rsidRPr="0032351D">
        <w:rPr>
          <w:szCs w:val="22"/>
          <w:lang w:val="nl-BE"/>
        </w:rPr>
        <w:t xml:space="preserve"> werd opgesteld, en juistheid, dit is de gegevens correct weergeven uit de boekhouding en de inventarissen op basis waarvan de statistieken worden opgesteld; en</w:t>
      </w:r>
    </w:p>
    <w:p w14:paraId="5A00C37F" w14:textId="77777777" w:rsidR="00E80257" w:rsidRPr="0032351D" w:rsidRDefault="00E80257" w:rsidP="00E97943">
      <w:pPr>
        <w:spacing w:line="240" w:lineRule="auto"/>
        <w:ind w:left="426" w:hanging="426"/>
        <w:jc w:val="both"/>
        <w:rPr>
          <w:szCs w:val="22"/>
          <w:lang w:val="nl-BE"/>
        </w:rPr>
      </w:pPr>
    </w:p>
    <w:p w14:paraId="6A58C749" w14:textId="5323AD53" w:rsidR="00E80257" w:rsidRPr="0032351D" w:rsidRDefault="00E80257" w:rsidP="00E97943">
      <w:pPr>
        <w:numPr>
          <w:ilvl w:val="0"/>
          <w:numId w:val="13"/>
        </w:numPr>
        <w:spacing w:line="240" w:lineRule="auto"/>
        <w:ind w:left="426" w:hanging="426"/>
        <w:jc w:val="both"/>
        <w:rPr>
          <w:i/>
          <w:szCs w:val="22"/>
          <w:lang w:val="nl-BE"/>
        </w:rPr>
      </w:pPr>
      <w:r w:rsidRPr="0032351D">
        <w:rPr>
          <w:szCs w:val="22"/>
          <w:lang w:val="nl-BE"/>
        </w:rPr>
        <w:lastRenderedPageBreak/>
        <w:t xml:space="preserve">de </w:t>
      </w:r>
      <w:r w:rsidR="00BF1D06">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opgesteld werd</w:t>
      </w:r>
      <w:r w:rsidR="00BF1D06">
        <w:rPr>
          <w:szCs w:val="22"/>
          <w:lang w:val="nl-BE"/>
        </w:rPr>
        <w:t>en</w:t>
      </w:r>
      <w:r w:rsidRPr="0032351D">
        <w:rPr>
          <w:szCs w:val="22"/>
          <w:lang w:val="nl-BE"/>
        </w:rPr>
        <w:t xml:space="preserve"> met toepassing van de boeking- en waarderingsregels voor de opstelling van de jaarrekening.</w:t>
      </w:r>
    </w:p>
    <w:p w14:paraId="6AE227CA" w14:textId="77777777" w:rsidR="00E80257" w:rsidRPr="0032351D" w:rsidRDefault="00E80257" w:rsidP="00AF0530">
      <w:pPr>
        <w:spacing w:line="240" w:lineRule="auto"/>
        <w:jc w:val="both"/>
        <w:rPr>
          <w:i/>
          <w:szCs w:val="22"/>
          <w:lang w:val="nl-BE"/>
        </w:rPr>
      </w:pPr>
    </w:p>
    <w:p w14:paraId="011D5C49" w14:textId="05EC1E88" w:rsidR="00E80257" w:rsidRDefault="00AF0530" w:rsidP="00AF0530">
      <w:pPr>
        <w:jc w:val="both"/>
        <w:rPr>
          <w:szCs w:val="22"/>
          <w:lang w:val="nl-BE"/>
        </w:rPr>
      </w:pPr>
      <w:r>
        <w:rPr>
          <w:szCs w:val="22"/>
          <w:lang w:val="nl-BE"/>
        </w:rPr>
        <w:t>Het oordeel</w:t>
      </w:r>
      <w:r w:rsidR="00E80257" w:rsidRPr="0032351D">
        <w:rPr>
          <w:szCs w:val="22"/>
          <w:lang w:val="nl-BE"/>
        </w:rPr>
        <w:t xml:space="preserve"> en </w:t>
      </w:r>
      <w:r>
        <w:rPr>
          <w:szCs w:val="22"/>
          <w:lang w:val="nl-BE"/>
        </w:rPr>
        <w:t xml:space="preserve">de </w:t>
      </w:r>
      <w:r w:rsidR="00E80257" w:rsidRPr="0032351D">
        <w:rPr>
          <w:szCs w:val="22"/>
          <w:lang w:val="nl-BE"/>
        </w:rPr>
        <w:t xml:space="preserve">bijkomende bevestigingen hebben betrekking op de </w:t>
      </w:r>
      <w:r w:rsidR="00BF1D06">
        <w:rPr>
          <w:szCs w:val="22"/>
          <w:lang w:val="nl-BE"/>
        </w:rPr>
        <w:t xml:space="preserve">financiële gegevens opgenomen in de statistische staten </w:t>
      </w:r>
      <w:r w:rsidR="00E80257" w:rsidRPr="0032351D">
        <w:rPr>
          <w:szCs w:val="22"/>
          <w:lang w:val="nl-BE"/>
        </w:rPr>
        <w:t xml:space="preserve">opgesteld voor </w:t>
      </w:r>
      <w:r w:rsidR="00E80257" w:rsidRPr="0032351D">
        <w:rPr>
          <w:i/>
          <w:szCs w:val="22"/>
          <w:lang w:val="nl-BE"/>
        </w:rPr>
        <w:t>[identificatie van de instelling]</w:t>
      </w:r>
      <w:r w:rsidR="00E80257" w:rsidRPr="0032351D">
        <w:rPr>
          <w:szCs w:val="22"/>
          <w:lang w:val="nl-BE"/>
        </w:rPr>
        <w:t xml:space="preserve"> en ieder van de afzonderlijke compartimenten. </w:t>
      </w:r>
    </w:p>
    <w:p w14:paraId="5E69FF36" w14:textId="6FC7B59F" w:rsidR="00AF0530" w:rsidRDefault="00AF0530" w:rsidP="00AF0530">
      <w:pPr>
        <w:jc w:val="both"/>
        <w:rPr>
          <w:szCs w:val="22"/>
          <w:lang w:val="nl-BE"/>
        </w:rPr>
      </w:pPr>
    </w:p>
    <w:p w14:paraId="5B8F9603" w14:textId="77777777" w:rsidR="002138AF" w:rsidRDefault="002138AF" w:rsidP="00AF0530">
      <w:pPr>
        <w:jc w:val="both"/>
        <w:rPr>
          <w:szCs w:val="22"/>
          <w:lang w:val="nl-BE"/>
        </w:rPr>
      </w:pPr>
    </w:p>
    <w:p w14:paraId="23709848" w14:textId="1A3FCB4E" w:rsidR="004564CE" w:rsidRPr="00E335AF" w:rsidRDefault="002138AF" w:rsidP="00E335AF">
      <w:pPr>
        <w:pStyle w:val="ListParagraph"/>
        <w:numPr>
          <w:ilvl w:val="0"/>
          <w:numId w:val="9"/>
        </w:numPr>
        <w:ind w:left="284" w:hanging="284"/>
        <w:jc w:val="both"/>
        <w:rPr>
          <w:b/>
          <w:iCs/>
          <w:szCs w:val="22"/>
          <w:lang w:val="nl-BE"/>
        </w:rPr>
      </w:pPr>
      <w:r w:rsidRPr="00E335AF">
        <w:rPr>
          <w:b/>
          <w:iCs/>
          <w:szCs w:val="22"/>
          <w:lang w:val="nl-BE"/>
        </w:rPr>
        <w:t xml:space="preserve">Deel 2 : </w:t>
      </w:r>
      <w:r w:rsidR="004564CE" w:rsidRPr="00E335AF">
        <w:rPr>
          <w:b/>
          <w:iCs/>
          <w:szCs w:val="22"/>
          <w:lang w:val="nl-BE"/>
        </w:rPr>
        <w:t xml:space="preserve">Verslag van de </w:t>
      </w:r>
      <w:r w:rsidR="00D067BB" w:rsidRPr="00E335AF">
        <w:rPr>
          <w:b/>
          <w:iCs/>
          <w:szCs w:val="22"/>
          <w:lang w:val="nl-BE"/>
        </w:rPr>
        <w:t>c</w:t>
      </w:r>
      <w:r w:rsidR="004564CE" w:rsidRPr="00E335AF">
        <w:rPr>
          <w:b/>
          <w:iCs/>
          <w:szCs w:val="22"/>
          <w:lang w:val="nl-BE"/>
        </w:rPr>
        <w:t>ommissari</w:t>
      </w:r>
      <w:r w:rsidR="00D067BB" w:rsidRPr="00E335AF">
        <w:rPr>
          <w:b/>
          <w:iCs/>
          <w:szCs w:val="22"/>
          <w:lang w:val="nl-BE"/>
        </w:rPr>
        <w:t>s</w:t>
      </w:r>
      <w:r w:rsidR="004564CE" w:rsidRPr="00E335AF">
        <w:rPr>
          <w:b/>
          <w:iCs/>
          <w:szCs w:val="22"/>
          <w:lang w:val="nl-BE"/>
        </w:rPr>
        <w:t xml:space="preserve"> aan de FSMA overeenkomstig artikel 106, § 1, eerste lid, 2°, b), (ii) van de wet van 3 augustus 2012 over de statistische sta</w:t>
      </w:r>
      <w:r w:rsidR="00E148CE" w:rsidRPr="00E335AF">
        <w:rPr>
          <w:b/>
          <w:iCs/>
          <w:szCs w:val="22"/>
          <w:lang w:val="nl-BE"/>
        </w:rPr>
        <w:t>ten</w:t>
      </w:r>
      <w:r w:rsidR="004564CE" w:rsidRPr="00E335AF">
        <w:rPr>
          <w:b/>
          <w:iCs/>
          <w:szCs w:val="22"/>
          <w:lang w:val="nl-BE"/>
        </w:rPr>
        <w:t xml:space="preserve"> AIF</w:t>
      </w:r>
      <w:r w:rsidR="00E148CE" w:rsidRPr="00E335AF">
        <w:rPr>
          <w:b/>
          <w:iCs/>
          <w:szCs w:val="22"/>
          <w:lang w:val="nl-BE"/>
        </w:rPr>
        <w:t xml:space="preserve"> en CIS_SUP_1</w:t>
      </w:r>
      <w:r w:rsidR="004564CE" w:rsidRPr="00E335AF">
        <w:rPr>
          <w:b/>
          <w:iCs/>
          <w:szCs w:val="22"/>
          <w:lang w:val="nl-BE"/>
        </w:rPr>
        <w:t xml:space="preserve"> van </w:t>
      </w:r>
      <w:r w:rsidR="004564CE" w:rsidRPr="00082474">
        <w:rPr>
          <w:b/>
          <w:i/>
          <w:szCs w:val="22"/>
          <w:lang w:val="nl-BE"/>
        </w:rPr>
        <w:t>[identificatie van de instelling] [“over het boekjaar afgesloten op [DD/MM/JJJJ]” of “per einde trimester afgesloten op [DD/MM/JJJJ]”, naargelang]</w:t>
      </w:r>
    </w:p>
    <w:p w14:paraId="58A15D01" w14:textId="77777777" w:rsidR="00AF0530" w:rsidRDefault="00AF0530" w:rsidP="00AF0530">
      <w:pPr>
        <w:jc w:val="both"/>
        <w:rPr>
          <w:szCs w:val="22"/>
          <w:lang w:val="nl-BE"/>
        </w:rPr>
      </w:pPr>
    </w:p>
    <w:p w14:paraId="4179DC3C" w14:textId="77777777" w:rsidR="00332144" w:rsidRPr="00BC4B7A" w:rsidRDefault="00E15CDE" w:rsidP="00AF0530">
      <w:pPr>
        <w:jc w:val="both"/>
        <w:rPr>
          <w:b/>
          <w:bCs/>
          <w:i/>
          <w:iCs/>
          <w:szCs w:val="22"/>
          <w:lang w:val="nl-BE"/>
        </w:rPr>
      </w:pPr>
      <w:r w:rsidRPr="00BC4B7A">
        <w:rPr>
          <w:b/>
          <w:bCs/>
          <w:i/>
          <w:iCs/>
          <w:szCs w:val="22"/>
          <w:lang w:val="nl-BE"/>
        </w:rPr>
        <w:t>Opdracht</w:t>
      </w:r>
    </w:p>
    <w:p w14:paraId="7B02C0B6" w14:textId="28B88DA9" w:rsidR="00E15CDE" w:rsidRDefault="00E15CDE" w:rsidP="00AF0530">
      <w:pPr>
        <w:jc w:val="both"/>
        <w:rPr>
          <w:b/>
          <w:bCs/>
          <w:szCs w:val="22"/>
          <w:lang w:val="nl-BE"/>
        </w:rPr>
      </w:pPr>
    </w:p>
    <w:p w14:paraId="55191F48" w14:textId="004480C1" w:rsidR="00631C4A" w:rsidRDefault="00631C4A" w:rsidP="00AF0530">
      <w:pPr>
        <w:jc w:val="both"/>
        <w:rPr>
          <w:rFonts w:eastAsia="MingLiU"/>
          <w:szCs w:val="22"/>
          <w:lang w:val="nl-BE"/>
        </w:rPr>
      </w:pPr>
      <w:r w:rsidRPr="0032351D">
        <w:rPr>
          <w:rFonts w:eastAsia="MingLiU"/>
          <w:szCs w:val="22"/>
          <w:lang w:val="nl-BE"/>
        </w:rPr>
        <w:t xml:space="preserve">In het kader van onze </w:t>
      </w:r>
      <w:r w:rsidR="00A51200">
        <w:rPr>
          <w:rFonts w:eastAsia="MingLiU"/>
          <w:szCs w:val="22"/>
          <w:lang w:val="nl-BE"/>
        </w:rPr>
        <w:t>beoordeling</w:t>
      </w:r>
      <w:r w:rsidRPr="0032351D">
        <w:rPr>
          <w:rFonts w:eastAsia="MingLiU"/>
          <w:szCs w:val="22"/>
          <w:lang w:val="nl-BE"/>
        </w:rPr>
        <w:t xml:space="preserve"> van de </w:t>
      </w:r>
      <w:r>
        <w:rPr>
          <w:rFonts w:eastAsia="MingLiU"/>
          <w:szCs w:val="22"/>
          <w:lang w:val="nl-BE"/>
        </w:rPr>
        <w:t xml:space="preserve">gegevens vermeld in de statistische staten AIF en CIS_SUP1 </w:t>
      </w:r>
      <w:r w:rsidRPr="0032351D">
        <w:rPr>
          <w:rFonts w:eastAsia="MingLiU"/>
          <w:szCs w:val="22"/>
          <w:lang w:val="nl-BE"/>
        </w:rPr>
        <w:t>van [</w:t>
      </w:r>
      <w:r w:rsidRPr="0032351D">
        <w:rPr>
          <w:rFonts w:eastAsia="MingLiU"/>
          <w:i/>
          <w:szCs w:val="22"/>
          <w:lang w:val="nl-BE"/>
        </w:rPr>
        <w:t>identificatie van de instelling</w:t>
      </w:r>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iCs/>
          <w:szCs w:val="22"/>
          <w:lang w:val="nl-BE"/>
        </w:rPr>
        <w:t>c</w:t>
      </w:r>
      <w:r w:rsidRPr="00A77F0D">
        <w:rPr>
          <w:rFonts w:eastAsia="MingLiU"/>
          <w:iCs/>
          <w:szCs w:val="22"/>
          <w:lang w:val="nl-BE"/>
        </w:rPr>
        <w:t xml:space="preserve">ommissaris </w:t>
      </w:r>
      <w:r w:rsidRPr="0032351D">
        <w:rPr>
          <w:rFonts w:eastAsia="MingLiU"/>
          <w:szCs w:val="22"/>
          <w:lang w:val="nl-BE"/>
        </w:rPr>
        <w:t>voor.</w:t>
      </w:r>
    </w:p>
    <w:p w14:paraId="760CEE79" w14:textId="77777777" w:rsidR="00631C4A" w:rsidRDefault="00631C4A" w:rsidP="00AF0530">
      <w:pPr>
        <w:jc w:val="both"/>
        <w:rPr>
          <w:rFonts w:eastAsia="MingLiU"/>
          <w:szCs w:val="22"/>
          <w:lang w:val="nl-BE"/>
        </w:rPr>
      </w:pPr>
    </w:p>
    <w:p w14:paraId="0CBC9B4A" w14:textId="6301E6A9" w:rsidR="00893B80" w:rsidRDefault="00631C4A" w:rsidP="00082474">
      <w:pPr>
        <w:jc w:val="both"/>
        <w:rPr>
          <w:szCs w:val="22"/>
          <w:lang w:val="nl-BE"/>
        </w:rPr>
      </w:pPr>
      <w:r>
        <w:rPr>
          <w:rFonts w:eastAsia="MingLiU"/>
          <w:szCs w:val="22"/>
          <w:lang w:val="nl-BE"/>
        </w:rPr>
        <w:t xml:space="preserve">Overeenkomstig de circulaire FSMA 2022_08, en meer bepaald met betrekking tot de volgende informatie opgenomen in de statistische staten AIF en CIS_SUP_1 (hierna </w:t>
      </w:r>
      <w:r w:rsidRPr="009C52DD">
        <w:rPr>
          <w:rFonts w:eastAsia="MingLiU"/>
          <w:i/>
          <w:iCs/>
          <w:szCs w:val="22"/>
          <w:lang w:val="nl-BE"/>
        </w:rPr>
        <w:t xml:space="preserve">“de </w:t>
      </w:r>
      <w:r>
        <w:rPr>
          <w:rFonts w:eastAsia="MingLiU"/>
          <w:i/>
          <w:iCs/>
          <w:szCs w:val="22"/>
          <w:lang w:val="nl-BE"/>
        </w:rPr>
        <w:t>niet-</w:t>
      </w:r>
      <w:r w:rsidRPr="009C52DD">
        <w:rPr>
          <w:rFonts w:eastAsia="MingLiU"/>
          <w:i/>
          <w:iCs/>
          <w:szCs w:val="22"/>
          <w:lang w:val="nl-BE"/>
        </w:rPr>
        <w:t>financiële gegevens”</w:t>
      </w:r>
      <w:r>
        <w:rPr>
          <w:rFonts w:eastAsia="MingLiU"/>
          <w:szCs w:val="22"/>
          <w:lang w:val="nl-BE"/>
        </w:rPr>
        <w:t>)</w:t>
      </w:r>
      <w:r w:rsidR="00E35D17">
        <w:rPr>
          <w:szCs w:val="22"/>
          <w:lang w:val="nl-BE"/>
        </w:rPr>
        <w:t>:</w:t>
      </w:r>
    </w:p>
    <w:p w14:paraId="4C960E3E" w14:textId="0314BDD4" w:rsidR="00893B80" w:rsidRPr="00082474" w:rsidRDefault="00E35D17" w:rsidP="00E335AF">
      <w:pPr>
        <w:pStyle w:val="ListParagraph"/>
        <w:numPr>
          <w:ilvl w:val="0"/>
          <w:numId w:val="16"/>
        </w:numPr>
        <w:jc w:val="both"/>
        <w:rPr>
          <w:szCs w:val="22"/>
          <w:lang w:val="nl-BE"/>
        </w:rPr>
      </w:pPr>
      <w:r w:rsidRPr="00082474">
        <w:rPr>
          <w:szCs w:val="22"/>
          <w:lang w:val="nl-BE"/>
        </w:rPr>
        <w:t>C</w:t>
      </w:r>
      <w:r w:rsidR="00893B80" w:rsidRPr="00082474">
        <w:rPr>
          <w:szCs w:val="22"/>
          <w:lang w:val="nl-BE"/>
        </w:rPr>
        <w:t>ontroleert</w:t>
      </w:r>
      <w:r w:rsidRPr="00082474">
        <w:rPr>
          <w:szCs w:val="22"/>
          <w:lang w:val="nl-BE"/>
        </w:rPr>
        <w:t xml:space="preserve"> de erkend commissaris </w:t>
      </w:r>
      <w:r w:rsidR="00893B80" w:rsidRPr="00082474">
        <w:rPr>
          <w:szCs w:val="22"/>
          <w:lang w:val="nl-BE"/>
        </w:rPr>
        <w:t>of de gegevens in overeenstemming zijn met de informatie opgenomen in de statuten of het beheerreglement, het prospectus en de essentiële beleggersinformatie van de ICB. In het bijzonder wat de identificatiegegevens betreft, zoals namen en codes (van bijvoorbeeld de ICB, het compartiment, aandelenklassen of klassen van rechten van deelneming, de beheervennootschap, de eventuele feeder of de eventuele master), de referentie- of de basismunteenheid, de gegevens die betrekking hebben op het gevolgde beleggingsbeleid en de gegevens over het liquiditeitsprofiel van de passiva, controleert de erkend commissaris de overeenstemming met deze documenten.</w:t>
      </w:r>
    </w:p>
    <w:p w14:paraId="74FBB170" w14:textId="18105074" w:rsidR="00893B80" w:rsidRPr="00907D22" w:rsidRDefault="00907D22" w:rsidP="00E335AF">
      <w:pPr>
        <w:pStyle w:val="ListParagraph"/>
        <w:numPr>
          <w:ilvl w:val="0"/>
          <w:numId w:val="16"/>
        </w:numPr>
        <w:jc w:val="both"/>
        <w:rPr>
          <w:szCs w:val="22"/>
          <w:lang w:val="nl-BE"/>
        </w:rPr>
      </w:pPr>
      <w:r>
        <w:rPr>
          <w:szCs w:val="22"/>
          <w:lang w:val="nl-BE"/>
        </w:rPr>
        <w:t>Controleert d</w:t>
      </w:r>
      <w:r w:rsidR="00893B80" w:rsidRPr="00907D22">
        <w:rPr>
          <w:szCs w:val="22"/>
          <w:lang w:val="nl-BE"/>
        </w:rPr>
        <w:t>e erkend commissaris of de gegevens</w:t>
      </w:r>
      <w:r w:rsidR="0064683F" w:rsidRPr="00907D22">
        <w:rPr>
          <w:szCs w:val="22"/>
          <w:lang w:val="nl-BE"/>
        </w:rPr>
        <w:t>,</w:t>
      </w:r>
      <w:r w:rsidR="00893B80" w:rsidRPr="00907D22">
        <w:rPr>
          <w:szCs w:val="22"/>
          <w:lang w:val="nl-BE"/>
        </w:rPr>
        <w:t xml:space="preserve"> </w:t>
      </w:r>
      <w:r w:rsidR="0064683F" w:rsidRPr="00E35D17">
        <w:rPr>
          <w:szCs w:val="22"/>
          <w:lang w:val="nl-BE"/>
        </w:rPr>
        <w:t xml:space="preserve">waarover </w:t>
      </w:r>
      <w:r w:rsidR="00E35D17">
        <w:rPr>
          <w:szCs w:val="22"/>
          <w:lang w:val="nl-BE"/>
        </w:rPr>
        <w:t xml:space="preserve">niet </w:t>
      </w:r>
      <w:r w:rsidR="0064683F" w:rsidRPr="00E35D17">
        <w:rPr>
          <w:szCs w:val="22"/>
          <w:lang w:val="nl-BE"/>
        </w:rPr>
        <w:t>gerapporteerd</w:t>
      </w:r>
      <w:r w:rsidR="00E35D17" w:rsidRPr="00E35D17">
        <w:rPr>
          <w:szCs w:val="22"/>
          <w:lang w:val="nl-BE"/>
        </w:rPr>
        <w:t xml:space="preserve"> </w:t>
      </w:r>
      <w:r w:rsidR="00165E22">
        <w:rPr>
          <w:szCs w:val="22"/>
          <w:lang w:val="nl-BE"/>
        </w:rPr>
        <w:t xml:space="preserve">wordt </w:t>
      </w:r>
      <w:r w:rsidR="00E35D17" w:rsidRPr="00E35D17">
        <w:rPr>
          <w:szCs w:val="22"/>
          <w:lang w:val="nl-BE"/>
        </w:rPr>
        <w:t xml:space="preserve">in </w:t>
      </w:r>
      <w:r w:rsidR="00165E22">
        <w:rPr>
          <w:szCs w:val="22"/>
          <w:lang w:val="nl-BE"/>
        </w:rPr>
        <w:t>deel 1</w:t>
      </w:r>
      <w:r w:rsidR="00E35D17" w:rsidRPr="00E35D17">
        <w:rPr>
          <w:szCs w:val="22"/>
          <w:lang w:val="nl-BE"/>
        </w:rPr>
        <w:t xml:space="preserve"> van dit verslag</w:t>
      </w:r>
      <w:r w:rsidR="00893B80" w:rsidRPr="00E35D17">
        <w:rPr>
          <w:szCs w:val="22"/>
          <w:lang w:val="nl-BE"/>
        </w:rPr>
        <w:t>, op redelijke wijze overeenstemmen met de boekhouding en de inventarissen van de ICB, en of deze gegevens in overeenstemming zijn met de gegevens voortge</w:t>
      </w:r>
      <w:r w:rsidR="00893B80" w:rsidRPr="00907D22">
        <w:rPr>
          <w:szCs w:val="22"/>
          <w:lang w:val="nl-BE"/>
        </w:rPr>
        <w:t>bracht door de relevante systemen en procedures van de ICB, zoals deze die betrekking hebben op het portefeuille- en risicobeheer.</w:t>
      </w:r>
    </w:p>
    <w:p w14:paraId="76D31C08" w14:textId="04CE69DA" w:rsidR="00893B80" w:rsidRPr="00907D22" w:rsidRDefault="00165E22" w:rsidP="00E335AF">
      <w:pPr>
        <w:pStyle w:val="ListParagraph"/>
        <w:numPr>
          <w:ilvl w:val="0"/>
          <w:numId w:val="16"/>
        </w:numPr>
        <w:jc w:val="both"/>
        <w:rPr>
          <w:szCs w:val="22"/>
          <w:lang w:val="nl-BE"/>
        </w:rPr>
      </w:pPr>
      <w:r>
        <w:rPr>
          <w:szCs w:val="22"/>
          <w:lang w:val="nl-BE"/>
        </w:rPr>
        <w:t>Controleert d</w:t>
      </w:r>
      <w:r w:rsidR="00893B80" w:rsidRPr="00907D22">
        <w:rPr>
          <w:szCs w:val="22"/>
          <w:lang w:val="nl-BE"/>
        </w:rPr>
        <w:t>e erkend commissaris de gegevens die verband houden met de inschatting van belangrijke risico’s (zoals het liquiditeitsrisico en het gebruik van hefboomfinanciering), op onmiskenbare inconsistenties met de boekhoudkundige gegevens en inventarissen waarover hij beschikt in het kader van zijn audit.</w:t>
      </w:r>
    </w:p>
    <w:p w14:paraId="1BE752F9" w14:textId="6B53B9D0" w:rsidR="00893B80" w:rsidRPr="00082474" w:rsidRDefault="00165E22" w:rsidP="00E335AF">
      <w:pPr>
        <w:pStyle w:val="ListParagraph"/>
        <w:numPr>
          <w:ilvl w:val="0"/>
          <w:numId w:val="16"/>
        </w:numPr>
        <w:jc w:val="both"/>
        <w:rPr>
          <w:szCs w:val="22"/>
          <w:lang w:val="nl-BE"/>
        </w:rPr>
      </w:pPr>
      <w:r>
        <w:rPr>
          <w:szCs w:val="22"/>
          <w:lang w:val="nl-BE"/>
        </w:rPr>
        <w:t>Ziet d</w:t>
      </w:r>
      <w:r w:rsidR="00893B80" w:rsidRPr="0031288E">
        <w:rPr>
          <w:szCs w:val="22"/>
          <w:lang w:val="nl-BE"/>
        </w:rPr>
        <w:t xml:space="preserve">e erkend commissaris </w:t>
      </w:r>
      <w:r w:rsidR="00893B80" w:rsidRPr="00D32100">
        <w:rPr>
          <w:szCs w:val="22"/>
          <w:lang w:val="nl-BE"/>
        </w:rPr>
        <w:t>er inzonderheid op toe dat de liquiditeit van de beleggingen, op basis van zijn opgedane kennis over deze portefeuille en rekening houdend met de regelgeving, niet materieel of systematisch verkeerd wordt ingeschat in de periodieke staten. Indien de erk</w:t>
      </w:r>
      <w:r w:rsidR="00893B80" w:rsidRPr="00082474">
        <w:rPr>
          <w:szCs w:val="22"/>
          <w:lang w:val="nl-BE"/>
        </w:rPr>
        <w:t>end commissaris bij bepaalde instrumenten een liquiditeitsrisico identificeert dat, naar zijn oordeel, significant is, ziet hij erop toe dat dit correct wordt gereflecteerd in de periodieke staten. De erkend commissaris valideert eveneens of er zich materiële bewegingen hebben voorgedaan op het niveau van de houders van rechten van deelneming van de ICB gedurende de boekhoudkundige periode die het voorwerp uitmaakt van het nazicht. Bovendien wordt verwacht dat de erkend commissaris verslag uitbrengt bij de FSMA indien hij materiële liquiditeitsproblemen vaststelt.</w:t>
      </w:r>
    </w:p>
    <w:p w14:paraId="1466DBDF" w14:textId="2336D8F8" w:rsidR="00893B80" w:rsidRPr="00082474" w:rsidRDefault="00893B80" w:rsidP="00E335AF">
      <w:pPr>
        <w:pStyle w:val="ListParagraph"/>
        <w:numPr>
          <w:ilvl w:val="0"/>
          <w:numId w:val="16"/>
        </w:numPr>
        <w:jc w:val="both"/>
        <w:rPr>
          <w:szCs w:val="22"/>
          <w:lang w:val="nl-BE"/>
        </w:rPr>
      </w:pPr>
      <w:r w:rsidRPr="00082474">
        <w:rPr>
          <w:szCs w:val="22"/>
          <w:lang w:val="nl-BE"/>
        </w:rPr>
        <w:t>Inzake de methodologieën en modellen van de ICB voor de berekening van bepaalde gegevens</w:t>
      </w:r>
      <w:r w:rsidR="00165E22">
        <w:rPr>
          <w:szCs w:val="22"/>
          <w:lang w:val="nl-BE"/>
        </w:rPr>
        <w:t>,</w:t>
      </w:r>
      <w:r w:rsidRPr="00082474">
        <w:rPr>
          <w:szCs w:val="22"/>
          <w:lang w:val="nl-BE"/>
        </w:rPr>
        <w:t xml:space="preserve"> kijkt de erkend commissaris – op basis van de boekhoudkundige gegevens en inventarissen waarover hij reeds beschikt in het kader van zijn audit </w:t>
      </w:r>
      <w:r w:rsidR="00165E22">
        <w:rPr>
          <w:szCs w:val="22"/>
          <w:lang w:val="nl-BE"/>
        </w:rPr>
        <w:t xml:space="preserve">– </w:t>
      </w:r>
      <w:r w:rsidRPr="00082474">
        <w:rPr>
          <w:szCs w:val="22"/>
          <w:lang w:val="nl-BE"/>
        </w:rPr>
        <w:t xml:space="preserve">na of alle ontleningen, alle posities in de beleggingsportefeuille, met inbegrip van de liquide middelen en de derivatentransacties, evenals de </w:t>
      </w:r>
      <w:r w:rsidRPr="00082474">
        <w:rPr>
          <w:szCs w:val="22"/>
          <w:lang w:val="nl-BE"/>
        </w:rPr>
        <w:lastRenderedPageBreak/>
        <w:t>effectenfinancieringstransacties en de herbeleggingen van het collateral, juist en volledig in rekening worden gebracht voor de berekening van de maatstaven van de hefboomfinanciering (leverage ratio’s) en het totale risico (global exposure). De erkend commissaris valideert noch de interne modellen, noch de bijkomende assumpties die door de ICB gemaakt worden.</w:t>
      </w:r>
    </w:p>
    <w:p w14:paraId="490DC371" w14:textId="335B3CC0" w:rsidR="00893B80" w:rsidRPr="00082474" w:rsidRDefault="00165E22" w:rsidP="00E335AF">
      <w:pPr>
        <w:pStyle w:val="ListParagraph"/>
        <w:numPr>
          <w:ilvl w:val="0"/>
          <w:numId w:val="16"/>
        </w:numPr>
        <w:jc w:val="both"/>
        <w:rPr>
          <w:szCs w:val="22"/>
          <w:lang w:val="nl-BE"/>
        </w:rPr>
      </w:pPr>
      <w:r>
        <w:rPr>
          <w:szCs w:val="22"/>
          <w:lang w:val="nl-BE"/>
        </w:rPr>
        <w:t>Controleert d</w:t>
      </w:r>
      <w:r w:rsidR="00893B80" w:rsidRPr="00082474">
        <w:rPr>
          <w:szCs w:val="22"/>
          <w:lang w:val="nl-BE"/>
        </w:rPr>
        <w:t>e erkend commissaris of het geheel van de gegevens op redelijke wijze intern consistent is. Meer specifiek:</w:t>
      </w:r>
    </w:p>
    <w:p w14:paraId="300FA031" w14:textId="4E36520A" w:rsidR="00893B80" w:rsidRPr="00082474" w:rsidRDefault="00893B80" w:rsidP="00E335AF">
      <w:pPr>
        <w:pStyle w:val="ListParagraph"/>
        <w:numPr>
          <w:ilvl w:val="1"/>
          <w:numId w:val="17"/>
        </w:numPr>
        <w:ind w:left="1416" w:hanging="696"/>
        <w:jc w:val="both"/>
        <w:rPr>
          <w:szCs w:val="22"/>
          <w:lang w:val="nl-BE"/>
        </w:rPr>
      </w:pPr>
      <w:r w:rsidRPr="00082474">
        <w:rPr>
          <w:szCs w:val="22"/>
          <w:lang w:val="nl-BE"/>
        </w:rPr>
        <w:t>kijkt de erkend commissaris na of er een redelijke overeenstemming is tussen de hefboomfinanciering (leverage ratio’s), het totale risico (global exposure), de individuele blootstellingen (in het bijzonder de blootstelling op derivaten), het totale nettoactief (NAV) en de activa onder beheer (AUM);</w:t>
      </w:r>
    </w:p>
    <w:p w14:paraId="4167241A" w14:textId="7184D6C6" w:rsidR="00000E35" w:rsidRPr="00E335AF" w:rsidRDefault="00893B80" w:rsidP="00E335AF">
      <w:pPr>
        <w:pStyle w:val="ListParagraph"/>
        <w:numPr>
          <w:ilvl w:val="1"/>
          <w:numId w:val="17"/>
        </w:numPr>
        <w:ind w:left="1416" w:hanging="696"/>
        <w:jc w:val="both"/>
        <w:rPr>
          <w:szCs w:val="22"/>
          <w:lang w:val="nl-BE"/>
        </w:rPr>
      </w:pPr>
      <w:r w:rsidRPr="00082474">
        <w:rPr>
          <w:szCs w:val="22"/>
          <w:lang w:val="nl-BE"/>
        </w:rPr>
        <w:t>kijkt de erkend commissaris na of er een redelijke overeenstemming is tussen zowel de gegevens binnen elke tabel van de periodieke staten, als de tabellen van de periodieke staten. Hij heeft in het bijzonder oog voor het totale nettoactief (NAV) en de activa onder beheer (AUM), de inschrijvingen en de terugbetalingen en de beleggingen in of blootstelling op de verschillende activa (categorieën)</w:t>
      </w:r>
      <w:r w:rsidR="00165E22" w:rsidRPr="00E335AF">
        <w:rPr>
          <w:szCs w:val="22"/>
          <w:lang w:val="nl-BE"/>
        </w:rPr>
        <w:t>.</w:t>
      </w:r>
    </w:p>
    <w:p w14:paraId="480DC994" w14:textId="77777777" w:rsidR="00000E35" w:rsidRDefault="00000E35" w:rsidP="00AF0530">
      <w:pPr>
        <w:jc w:val="both"/>
        <w:rPr>
          <w:rFonts w:eastAsia="MingLiU"/>
          <w:b/>
          <w:bCs/>
          <w:szCs w:val="22"/>
          <w:lang w:val="nl-BE"/>
        </w:rPr>
      </w:pPr>
    </w:p>
    <w:p w14:paraId="4E525D31" w14:textId="2CD1A72F" w:rsidR="00B7088B" w:rsidRPr="00E335AF" w:rsidRDefault="002F3C2C" w:rsidP="00AF0530">
      <w:pPr>
        <w:jc w:val="both"/>
        <w:rPr>
          <w:rFonts w:eastAsia="MingLiU"/>
          <w:b/>
          <w:bCs/>
          <w:i/>
          <w:iCs/>
          <w:szCs w:val="22"/>
          <w:lang w:val="nl-BE"/>
        </w:rPr>
      </w:pPr>
      <w:r w:rsidRPr="00E335AF">
        <w:rPr>
          <w:rFonts w:eastAsia="MingLiU"/>
          <w:b/>
          <w:bCs/>
          <w:i/>
          <w:iCs/>
          <w:szCs w:val="22"/>
          <w:lang w:val="nl-BE"/>
        </w:rPr>
        <w:t>Veran</w:t>
      </w:r>
      <w:r w:rsidR="00BD2CD1" w:rsidRPr="00E335AF">
        <w:rPr>
          <w:rFonts w:eastAsia="MingLiU"/>
          <w:b/>
          <w:bCs/>
          <w:i/>
          <w:iCs/>
          <w:szCs w:val="22"/>
          <w:lang w:val="nl-BE"/>
        </w:rPr>
        <w:t>t</w:t>
      </w:r>
      <w:r w:rsidRPr="00E335AF">
        <w:rPr>
          <w:rFonts w:eastAsia="MingLiU"/>
          <w:b/>
          <w:bCs/>
          <w:i/>
          <w:iCs/>
          <w:szCs w:val="22"/>
          <w:lang w:val="nl-BE"/>
        </w:rPr>
        <w:t xml:space="preserve">woordelijkheid van de </w:t>
      </w:r>
      <w:r w:rsidR="00361DC6" w:rsidRPr="00E335AF">
        <w:rPr>
          <w:rFonts w:eastAsia="MingLiU"/>
          <w:b/>
          <w:bCs/>
          <w:i/>
          <w:iCs/>
          <w:szCs w:val="22"/>
          <w:lang w:val="nl-BE"/>
        </w:rPr>
        <w:t>[</w:t>
      </w:r>
      <w:r w:rsidR="00913F7D" w:rsidRPr="00E335AF">
        <w:rPr>
          <w:rFonts w:eastAsia="MingLiU"/>
          <w:b/>
          <w:bCs/>
          <w:i/>
          <w:iCs/>
          <w:szCs w:val="22"/>
          <w:lang w:val="nl-BE"/>
        </w:rPr>
        <w:t>“</w:t>
      </w:r>
      <w:r w:rsidRPr="00082474">
        <w:rPr>
          <w:rFonts w:eastAsia="MingLiU"/>
          <w:b/>
          <w:bCs/>
          <w:i/>
          <w:iCs/>
          <w:szCs w:val="22"/>
          <w:lang w:val="nl-BE"/>
        </w:rPr>
        <w:t>effecti</w:t>
      </w:r>
      <w:r w:rsidR="00BD2CD1" w:rsidRPr="00082474">
        <w:rPr>
          <w:rFonts w:eastAsia="MingLiU"/>
          <w:b/>
          <w:bCs/>
          <w:i/>
          <w:iCs/>
          <w:szCs w:val="22"/>
          <w:lang w:val="nl-BE"/>
        </w:rPr>
        <w:t>e</w:t>
      </w:r>
      <w:r w:rsidRPr="00082474">
        <w:rPr>
          <w:rFonts w:eastAsia="MingLiU"/>
          <w:b/>
          <w:bCs/>
          <w:i/>
          <w:iCs/>
          <w:szCs w:val="22"/>
          <w:lang w:val="nl-BE"/>
        </w:rPr>
        <w:t>ve leiding</w:t>
      </w:r>
      <w:r w:rsidR="00913F7D" w:rsidRPr="00082474">
        <w:rPr>
          <w:rFonts w:eastAsia="MingLiU"/>
          <w:b/>
          <w:bCs/>
          <w:i/>
          <w:iCs/>
          <w:szCs w:val="22"/>
          <w:lang w:val="nl-BE"/>
        </w:rPr>
        <w:t>”</w:t>
      </w:r>
      <w:r w:rsidR="00361DC6" w:rsidRPr="00082474">
        <w:rPr>
          <w:rFonts w:eastAsia="MingLiU"/>
          <w:b/>
          <w:bCs/>
          <w:i/>
          <w:iCs/>
          <w:szCs w:val="22"/>
          <w:lang w:val="nl-BE"/>
        </w:rPr>
        <w:t xml:space="preserve"> of </w:t>
      </w:r>
      <w:r w:rsidR="00913F7D" w:rsidRPr="00082474">
        <w:rPr>
          <w:rFonts w:eastAsia="MingLiU"/>
          <w:b/>
          <w:bCs/>
          <w:i/>
          <w:iCs/>
          <w:szCs w:val="22"/>
          <w:lang w:val="nl-BE"/>
        </w:rPr>
        <w:t>“</w:t>
      </w:r>
      <w:r w:rsidR="00361DC6" w:rsidRPr="00082474">
        <w:rPr>
          <w:rFonts w:eastAsia="MingLiU"/>
          <w:b/>
          <w:bCs/>
          <w:i/>
          <w:iCs/>
          <w:szCs w:val="22"/>
          <w:lang w:val="nl-BE"/>
        </w:rPr>
        <w:t>directiecomité</w:t>
      </w:r>
      <w:r w:rsidR="00913F7D" w:rsidRPr="00082474">
        <w:rPr>
          <w:rFonts w:eastAsia="MingLiU"/>
          <w:b/>
          <w:bCs/>
          <w:i/>
          <w:iCs/>
          <w:szCs w:val="22"/>
          <w:lang w:val="nl-BE"/>
        </w:rPr>
        <w:t>”</w:t>
      </w:r>
      <w:r w:rsidR="00361DC6" w:rsidRPr="00082474">
        <w:rPr>
          <w:rFonts w:eastAsia="MingLiU"/>
          <w:b/>
          <w:bCs/>
          <w:i/>
          <w:iCs/>
          <w:szCs w:val="22"/>
          <w:lang w:val="nl-BE"/>
        </w:rPr>
        <w:t>, naar gelang</w:t>
      </w:r>
      <w:r w:rsidR="00361DC6" w:rsidRPr="00E335AF">
        <w:rPr>
          <w:rFonts w:eastAsia="MingLiU"/>
          <w:b/>
          <w:bCs/>
          <w:i/>
          <w:iCs/>
          <w:szCs w:val="22"/>
          <w:lang w:val="nl-BE"/>
        </w:rPr>
        <w:t xml:space="preserve">] </w:t>
      </w:r>
      <w:r w:rsidR="00DB599E" w:rsidRPr="00E335AF">
        <w:rPr>
          <w:rFonts w:eastAsia="MingLiU"/>
          <w:b/>
          <w:bCs/>
          <w:i/>
          <w:iCs/>
          <w:szCs w:val="22"/>
          <w:lang w:val="nl-BE"/>
        </w:rPr>
        <w:t>[</w:t>
      </w:r>
      <w:r w:rsidR="00DB599E" w:rsidRPr="00082474">
        <w:rPr>
          <w:rFonts w:eastAsia="MingLiU"/>
          <w:b/>
          <w:bCs/>
          <w:i/>
          <w:iCs/>
          <w:szCs w:val="22"/>
          <w:lang w:val="nl-BE"/>
        </w:rPr>
        <w:t xml:space="preserve">“en </w:t>
      </w:r>
      <w:r w:rsidR="00361DC6" w:rsidRPr="00082474">
        <w:rPr>
          <w:rFonts w:eastAsia="MingLiU"/>
          <w:b/>
          <w:bCs/>
          <w:i/>
          <w:iCs/>
          <w:szCs w:val="22"/>
          <w:lang w:val="nl-BE"/>
        </w:rPr>
        <w:t>de raad van bestuur</w:t>
      </w:r>
      <w:r w:rsidR="00DB599E" w:rsidRPr="00082474">
        <w:rPr>
          <w:rFonts w:eastAsia="MingLiU"/>
          <w:b/>
          <w:bCs/>
          <w:i/>
          <w:iCs/>
          <w:szCs w:val="22"/>
          <w:lang w:val="nl-BE"/>
        </w:rPr>
        <w:t>”, naar gelang</w:t>
      </w:r>
      <w:r w:rsidR="005E30F3" w:rsidRPr="00E335AF">
        <w:rPr>
          <w:rFonts w:eastAsia="MingLiU"/>
          <w:b/>
          <w:bCs/>
          <w:i/>
          <w:iCs/>
          <w:szCs w:val="22"/>
          <w:lang w:val="nl-BE"/>
        </w:rPr>
        <w:t xml:space="preserve">] voor de </w:t>
      </w:r>
      <w:r w:rsidR="00165E22">
        <w:rPr>
          <w:rFonts w:eastAsia="MingLiU"/>
          <w:b/>
          <w:bCs/>
          <w:i/>
          <w:iCs/>
          <w:szCs w:val="22"/>
          <w:lang w:val="nl-BE"/>
        </w:rPr>
        <w:t xml:space="preserve">niet-financiële gegevens opgenomen in de </w:t>
      </w:r>
      <w:r w:rsidR="005E30F3" w:rsidRPr="00E335AF">
        <w:rPr>
          <w:rFonts w:eastAsia="MingLiU"/>
          <w:b/>
          <w:bCs/>
          <w:i/>
          <w:iCs/>
          <w:szCs w:val="22"/>
          <w:lang w:val="nl-BE"/>
        </w:rPr>
        <w:t>statistisc</w:t>
      </w:r>
      <w:r w:rsidR="00E83FE4" w:rsidRPr="00E335AF">
        <w:rPr>
          <w:rFonts w:eastAsia="MingLiU"/>
          <w:b/>
          <w:bCs/>
          <w:i/>
          <w:iCs/>
          <w:szCs w:val="22"/>
          <w:lang w:val="nl-BE"/>
        </w:rPr>
        <w:t>he</w:t>
      </w:r>
      <w:r w:rsidR="005E30F3" w:rsidRPr="00E335AF">
        <w:rPr>
          <w:rFonts w:eastAsia="MingLiU"/>
          <w:b/>
          <w:bCs/>
          <w:i/>
          <w:iCs/>
          <w:szCs w:val="22"/>
          <w:lang w:val="nl-BE"/>
        </w:rPr>
        <w:t xml:space="preserve"> sta</w:t>
      </w:r>
      <w:r w:rsidR="00D125EB" w:rsidRPr="00E335AF">
        <w:rPr>
          <w:rFonts w:eastAsia="MingLiU"/>
          <w:b/>
          <w:bCs/>
          <w:i/>
          <w:iCs/>
          <w:szCs w:val="22"/>
          <w:lang w:val="nl-BE"/>
        </w:rPr>
        <w:t>ten</w:t>
      </w:r>
      <w:r w:rsidR="005E30F3" w:rsidRPr="00E335AF">
        <w:rPr>
          <w:rFonts w:eastAsia="MingLiU"/>
          <w:b/>
          <w:bCs/>
          <w:i/>
          <w:iCs/>
          <w:szCs w:val="22"/>
          <w:lang w:val="nl-BE"/>
        </w:rPr>
        <w:t xml:space="preserve"> </w:t>
      </w:r>
      <w:r w:rsidR="00165E22" w:rsidRPr="00E335AF">
        <w:rPr>
          <w:rFonts w:eastAsia="MingLiU"/>
          <w:b/>
          <w:bCs/>
          <w:i/>
          <w:iCs/>
          <w:szCs w:val="22"/>
          <w:lang w:val="nl-BE"/>
        </w:rPr>
        <w:t>AIF en CIS_SUP_1</w:t>
      </w:r>
    </w:p>
    <w:p w14:paraId="643EAC52" w14:textId="5365BC2D" w:rsidR="00BD2CD1" w:rsidRDefault="00BD2CD1" w:rsidP="00AF0530">
      <w:pPr>
        <w:jc w:val="both"/>
        <w:rPr>
          <w:rFonts w:eastAsia="MingLiU"/>
          <w:b/>
          <w:bCs/>
          <w:szCs w:val="22"/>
          <w:lang w:val="nl-BE"/>
        </w:rPr>
      </w:pPr>
    </w:p>
    <w:p w14:paraId="12E5DE9E" w14:textId="24E0973D" w:rsidR="000D12A8" w:rsidRPr="00913F7D" w:rsidRDefault="00655BF1" w:rsidP="008111ED">
      <w:pPr>
        <w:jc w:val="both"/>
        <w:rPr>
          <w:rFonts w:eastAsia="MingLiU"/>
          <w:b/>
          <w:bCs/>
          <w:szCs w:val="22"/>
          <w:lang w:val="nl-BE"/>
        </w:rPr>
      </w:pPr>
      <w:r w:rsidRPr="0032351D">
        <w:rPr>
          <w:i/>
          <w:szCs w:val="22"/>
          <w:lang w:val="nl-NL"/>
        </w:rPr>
        <w:t>[“De effectieve leiding” of “het directiecomité”, naargelang</w:t>
      </w:r>
      <w:r>
        <w:rPr>
          <w:i/>
          <w:szCs w:val="22"/>
          <w:lang w:val="nl-NL"/>
        </w:rPr>
        <w:t>]</w:t>
      </w:r>
      <w:r w:rsidR="00D3524B">
        <w:rPr>
          <w:i/>
          <w:szCs w:val="22"/>
          <w:lang w:val="nl-NL"/>
        </w:rPr>
        <w:t xml:space="preserve"> </w:t>
      </w:r>
      <w:r w:rsidR="00D3524B" w:rsidRPr="00D3524B">
        <w:rPr>
          <w:iCs/>
          <w:szCs w:val="22"/>
          <w:lang w:val="nl-NL"/>
        </w:rPr>
        <w:t>is</w:t>
      </w:r>
      <w:r w:rsidR="0069018F" w:rsidRPr="0032351D">
        <w:rPr>
          <w:szCs w:val="22"/>
          <w:lang w:val="nl-BE"/>
        </w:rPr>
        <w:t xml:space="preserve">, onder het toezicht van het bestuursorgaan </w:t>
      </w:r>
      <w:r w:rsidR="0069018F" w:rsidRPr="00656060">
        <w:rPr>
          <w:i/>
          <w:iCs/>
          <w:szCs w:val="22"/>
          <w:lang w:val="nl-BE"/>
        </w:rPr>
        <w:t>[</w:t>
      </w:r>
      <w:r w:rsidR="0069018F">
        <w:rPr>
          <w:i/>
          <w:szCs w:val="22"/>
          <w:lang w:val="nl-BE"/>
        </w:rPr>
        <w:t>of “</w:t>
      </w:r>
      <w:r w:rsidR="0069018F" w:rsidRPr="0032351D">
        <w:rPr>
          <w:i/>
          <w:szCs w:val="22"/>
          <w:lang w:val="nl-BE"/>
        </w:rPr>
        <w:t>het bestuursorgaan van de aangestelde b</w:t>
      </w:r>
      <w:r w:rsidR="0069018F" w:rsidRPr="008E6E94">
        <w:rPr>
          <w:i/>
          <w:szCs w:val="22"/>
          <w:lang w:val="nl-BE"/>
        </w:rPr>
        <w:t>eheervennootschap</w:t>
      </w:r>
      <w:r w:rsidR="0069018F">
        <w:rPr>
          <w:i/>
          <w:szCs w:val="22"/>
          <w:lang w:val="nl-BE"/>
        </w:rPr>
        <w:t>”</w:t>
      </w:r>
      <w:r w:rsidR="0069018F" w:rsidRPr="00AF0530">
        <w:rPr>
          <w:iCs/>
          <w:szCs w:val="22"/>
          <w:lang w:val="nl-BE"/>
        </w:rPr>
        <w:t>, naargelang],</w:t>
      </w:r>
      <w:r w:rsidR="00D3524B" w:rsidRPr="00D3524B">
        <w:rPr>
          <w:iCs/>
          <w:szCs w:val="22"/>
          <w:lang w:val="nl-NL"/>
        </w:rPr>
        <w:t xml:space="preserve"> verantwoordelijk voor</w:t>
      </w:r>
      <w:r>
        <w:rPr>
          <w:rFonts w:eastAsia="MingLiU"/>
          <w:szCs w:val="22"/>
          <w:lang w:val="nl-BE"/>
        </w:rPr>
        <w:t xml:space="preserve"> </w:t>
      </w:r>
      <w:r w:rsidR="00D3524B">
        <w:rPr>
          <w:rFonts w:eastAsia="MingLiU"/>
          <w:szCs w:val="22"/>
          <w:lang w:val="nl-BE"/>
        </w:rPr>
        <w:t>h</w:t>
      </w:r>
      <w:r w:rsidR="00BD2CD1">
        <w:rPr>
          <w:rFonts w:eastAsia="MingLiU"/>
          <w:szCs w:val="22"/>
          <w:lang w:val="nl-BE"/>
        </w:rPr>
        <w:t>et opstellen van de statistische sta</w:t>
      </w:r>
      <w:r w:rsidR="00D125EB">
        <w:rPr>
          <w:rFonts w:eastAsia="MingLiU"/>
          <w:szCs w:val="22"/>
          <w:lang w:val="nl-BE"/>
        </w:rPr>
        <w:t>ten</w:t>
      </w:r>
      <w:r w:rsidR="00951554">
        <w:rPr>
          <w:rFonts w:eastAsia="MingLiU"/>
          <w:szCs w:val="22"/>
          <w:lang w:val="nl-BE"/>
        </w:rPr>
        <w:t xml:space="preserve"> </w:t>
      </w:r>
      <w:r w:rsidR="00165E22" w:rsidRPr="00165E22">
        <w:rPr>
          <w:rFonts w:eastAsia="MingLiU"/>
          <w:szCs w:val="22"/>
          <w:lang w:val="nl-BE"/>
        </w:rPr>
        <w:t xml:space="preserve">AIF en CIS_SUP_1 </w:t>
      </w:r>
      <w:r w:rsidR="00951554">
        <w:rPr>
          <w:rFonts w:eastAsia="MingLiU"/>
          <w:szCs w:val="22"/>
          <w:lang w:val="nl-BE"/>
        </w:rPr>
        <w:t xml:space="preserve">overeenkomstig </w:t>
      </w:r>
      <w:r w:rsidR="00D3524B">
        <w:rPr>
          <w:rFonts w:eastAsia="MingLiU"/>
          <w:szCs w:val="22"/>
          <w:lang w:val="nl-BE"/>
        </w:rPr>
        <w:t xml:space="preserve">de </w:t>
      </w:r>
      <w:r w:rsidR="00FA3BF6">
        <w:rPr>
          <w:rFonts w:eastAsia="MingLiU"/>
          <w:szCs w:val="22"/>
          <w:lang w:val="nl-BE"/>
        </w:rPr>
        <w:t xml:space="preserve">richtlijnen van de FSMA, alsook het implementeren en in stand houden van een systeem van interne </w:t>
      </w:r>
      <w:r w:rsidR="00127ABF">
        <w:rPr>
          <w:rFonts w:eastAsia="MingLiU"/>
          <w:szCs w:val="22"/>
          <w:lang w:val="nl-BE"/>
        </w:rPr>
        <w:t>beheersing</w:t>
      </w:r>
      <w:r w:rsidR="0001355A">
        <w:rPr>
          <w:rFonts w:eastAsia="MingLiU"/>
          <w:szCs w:val="22"/>
          <w:lang w:val="nl-BE"/>
        </w:rPr>
        <w:t xml:space="preserve"> </w:t>
      </w:r>
      <w:r w:rsidR="0001355A" w:rsidRPr="0032351D">
        <w:rPr>
          <w:szCs w:val="22"/>
          <w:lang w:val="nl-NL"/>
        </w:rPr>
        <w:t xml:space="preserve">die </w:t>
      </w:r>
      <w:r w:rsidR="0001355A" w:rsidRPr="0032351D">
        <w:rPr>
          <w:i/>
          <w:szCs w:val="22"/>
          <w:lang w:val="nl-NL"/>
        </w:rPr>
        <w:t xml:space="preserve">[“de effectieve leiding” of “het directiecomité”, naargelang] </w:t>
      </w:r>
      <w:r w:rsidR="0001355A" w:rsidRPr="0032351D">
        <w:rPr>
          <w:szCs w:val="22"/>
          <w:lang w:val="nl-NL"/>
        </w:rPr>
        <w:t xml:space="preserve">noodzakelijk acht voor het opstellen van de </w:t>
      </w:r>
      <w:r w:rsidR="0001355A">
        <w:rPr>
          <w:szCs w:val="22"/>
          <w:lang w:val="nl-NL"/>
        </w:rPr>
        <w:t>statistisc</w:t>
      </w:r>
      <w:r w:rsidR="00A42F46">
        <w:rPr>
          <w:szCs w:val="22"/>
          <w:lang w:val="nl-NL"/>
        </w:rPr>
        <w:t>he</w:t>
      </w:r>
      <w:r w:rsidR="0001355A" w:rsidRPr="0032351D">
        <w:rPr>
          <w:szCs w:val="22"/>
          <w:lang w:val="nl-NL"/>
        </w:rPr>
        <w:t xml:space="preserve"> sta</w:t>
      </w:r>
      <w:r w:rsidR="00D125EB">
        <w:rPr>
          <w:szCs w:val="22"/>
          <w:lang w:val="nl-NL"/>
        </w:rPr>
        <w:t>ten</w:t>
      </w:r>
      <w:r w:rsidR="00A42F46">
        <w:rPr>
          <w:szCs w:val="22"/>
          <w:lang w:val="nl-NL"/>
        </w:rPr>
        <w:t xml:space="preserve"> </w:t>
      </w:r>
      <w:r w:rsidR="0001355A" w:rsidRPr="0032351D">
        <w:rPr>
          <w:szCs w:val="22"/>
          <w:lang w:val="nl-NL"/>
        </w:rPr>
        <w:t>die geen afwijking van materieel belang bevat die het gevolg is van fraude of van fouten</w:t>
      </w:r>
      <w:r w:rsidR="00DE0A24">
        <w:rPr>
          <w:rFonts w:eastAsia="MingLiU"/>
          <w:b/>
          <w:bCs/>
          <w:szCs w:val="22"/>
          <w:lang w:val="nl-BE"/>
        </w:rPr>
        <w:t>.</w:t>
      </w:r>
    </w:p>
    <w:p w14:paraId="0E596AC5" w14:textId="77777777" w:rsidR="000D12A8" w:rsidRDefault="000D12A8" w:rsidP="008111ED">
      <w:pPr>
        <w:jc w:val="both"/>
        <w:rPr>
          <w:b/>
          <w:bCs/>
          <w:i/>
          <w:szCs w:val="22"/>
          <w:lang w:val="nl-NL"/>
        </w:rPr>
      </w:pPr>
    </w:p>
    <w:p w14:paraId="1DFAD8E5" w14:textId="3A7BE5B3" w:rsidR="008111ED" w:rsidRPr="0032351D" w:rsidRDefault="008111ED" w:rsidP="008111ED">
      <w:pPr>
        <w:jc w:val="both"/>
        <w:rPr>
          <w:b/>
          <w:bCs/>
          <w:i/>
          <w:szCs w:val="22"/>
          <w:lang w:val="nl-NL"/>
        </w:rPr>
      </w:pPr>
      <w:r w:rsidRPr="0032351D">
        <w:rPr>
          <w:b/>
          <w:bCs/>
          <w:i/>
          <w:szCs w:val="22"/>
          <w:lang w:val="nl-NL"/>
        </w:rPr>
        <w:t>Verantwoordelijkheden van de</w:t>
      </w:r>
      <w:r w:rsidRPr="00557103">
        <w:rPr>
          <w:b/>
          <w:bCs/>
          <w:i/>
          <w:szCs w:val="22"/>
          <w:lang w:val="nl-NL"/>
        </w:rPr>
        <w:t xml:space="preserve"> </w:t>
      </w:r>
      <w:r w:rsidR="00557103" w:rsidRPr="00557103">
        <w:rPr>
          <w:b/>
          <w:bCs/>
          <w:i/>
          <w:szCs w:val="22"/>
          <w:lang w:val="nl-BE"/>
        </w:rPr>
        <w:t>c</w:t>
      </w:r>
      <w:r w:rsidRPr="00557103">
        <w:rPr>
          <w:b/>
          <w:bCs/>
          <w:i/>
          <w:szCs w:val="22"/>
          <w:lang w:val="nl-BE"/>
        </w:rPr>
        <w:t>ommissaris</w:t>
      </w:r>
      <w:r w:rsidR="00557103">
        <w:rPr>
          <w:b/>
          <w:bCs/>
          <w:i/>
          <w:szCs w:val="22"/>
          <w:lang w:val="nl-BE"/>
        </w:rPr>
        <w:t xml:space="preserve"> </w:t>
      </w:r>
      <w:r w:rsidRPr="0032351D">
        <w:rPr>
          <w:b/>
          <w:bCs/>
          <w:i/>
          <w:szCs w:val="22"/>
          <w:lang w:val="nl-NL"/>
        </w:rPr>
        <w:t xml:space="preserve">voor de </w:t>
      </w:r>
      <w:r>
        <w:rPr>
          <w:b/>
          <w:bCs/>
          <w:i/>
          <w:szCs w:val="22"/>
          <w:lang w:val="nl-NL"/>
        </w:rPr>
        <w:t>beoordeling</w:t>
      </w:r>
      <w:r w:rsidRPr="0032351D">
        <w:rPr>
          <w:b/>
          <w:bCs/>
          <w:i/>
          <w:szCs w:val="22"/>
          <w:lang w:val="nl-NL"/>
        </w:rPr>
        <w:t xml:space="preserve"> van de </w:t>
      </w:r>
      <w:r w:rsidR="00165E22">
        <w:rPr>
          <w:b/>
          <w:bCs/>
          <w:i/>
          <w:szCs w:val="22"/>
          <w:lang w:val="nl-NL"/>
        </w:rPr>
        <w:t xml:space="preserve">niet-financiële </w:t>
      </w:r>
      <w:r w:rsidR="00893B80">
        <w:rPr>
          <w:b/>
          <w:bCs/>
          <w:i/>
          <w:szCs w:val="22"/>
          <w:lang w:val="nl-NL"/>
        </w:rPr>
        <w:t xml:space="preserve">gegevens </w:t>
      </w:r>
      <w:r w:rsidR="00907D22">
        <w:rPr>
          <w:b/>
          <w:bCs/>
          <w:i/>
          <w:szCs w:val="22"/>
          <w:lang w:val="nl-NL"/>
        </w:rPr>
        <w:t>opgenomen in</w:t>
      </w:r>
      <w:r w:rsidR="00893B80">
        <w:rPr>
          <w:b/>
          <w:bCs/>
          <w:i/>
          <w:szCs w:val="22"/>
          <w:lang w:val="nl-NL"/>
        </w:rPr>
        <w:t xml:space="preserve"> de </w:t>
      </w:r>
      <w:r>
        <w:rPr>
          <w:b/>
          <w:bCs/>
          <w:i/>
          <w:szCs w:val="22"/>
          <w:lang w:val="nl-NL"/>
        </w:rPr>
        <w:t xml:space="preserve">statistische </w:t>
      </w:r>
      <w:r w:rsidRPr="0032351D">
        <w:rPr>
          <w:b/>
          <w:bCs/>
          <w:i/>
          <w:szCs w:val="22"/>
          <w:lang w:val="nl-NL"/>
        </w:rPr>
        <w:t>sta</w:t>
      </w:r>
      <w:r w:rsidR="00D125EB">
        <w:rPr>
          <w:b/>
          <w:bCs/>
          <w:i/>
          <w:szCs w:val="22"/>
          <w:lang w:val="nl-NL"/>
        </w:rPr>
        <w:t>ten</w:t>
      </w:r>
      <w:r w:rsidR="00272B6D">
        <w:rPr>
          <w:b/>
          <w:bCs/>
          <w:i/>
          <w:szCs w:val="22"/>
          <w:lang w:val="nl-NL"/>
        </w:rPr>
        <w:t xml:space="preserve"> AIF</w:t>
      </w:r>
      <w:r w:rsidR="00D125EB">
        <w:rPr>
          <w:b/>
          <w:bCs/>
          <w:i/>
          <w:szCs w:val="22"/>
          <w:lang w:val="nl-NL"/>
        </w:rPr>
        <w:t xml:space="preserve"> en CIS_SUP_1</w:t>
      </w:r>
    </w:p>
    <w:p w14:paraId="3FA46DBB" w14:textId="77777777" w:rsidR="005E30F3" w:rsidRPr="008111ED" w:rsidRDefault="005E30F3" w:rsidP="00AF0530">
      <w:pPr>
        <w:jc w:val="both"/>
        <w:rPr>
          <w:iCs/>
          <w:szCs w:val="22"/>
          <w:lang w:val="nl-NL"/>
        </w:rPr>
      </w:pPr>
    </w:p>
    <w:p w14:paraId="38748651" w14:textId="73B740EA" w:rsidR="00E96A73" w:rsidRDefault="00E96A73" w:rsidP="00AF0530">
      <w:pPr>
        <w:jc w:val="both"/>
        <w:rPr>
          <w:szCs w:val="22"/>
          <w:lang w:val="nl-NL"/>
        </w:rPr>
      </w:pPr>
      <w:r w:rsidRPr="00A143D9">
        <w:rPr>
          <w:szCs w:val="22"/>
          <w:lang w:val="nl-BE"/>
        </w:rPr>
        <w:t xml:space="preserve">Wij hebben </w:t>
      </w:r>
      <w:r>
        <w:rPr>
          <w:szCs w:val="22"/>
          <w:lang w:val="nl-NL"/>
        </w:rPr>
        <w:t xml:space="preserve">de </w:t>
      </w:r>
      <w:r w:rsidR="00165E22">
        <w:rPr>
          <w:szCs w:val="22"/>
          <w:lang w:val="nl-NL"/>
        </w:rPr>
        <w:t xml:space="preserve">niet-financiële </w:t>
      </w:r>
      <w:r>
        <w:rPr>
          <w:szCs w:val="22"/>
          <w:lang w:val="nl-NL"/>
        </w:rPr>
        <w:t xml:space="preserve">gegevens </w:t>
      </w:r>
      <w:r w:rsidR="00165E22">
        <w:rPr>
          <w:szCs w:val="22"/>
          <w:lang w:val="nl-NL"/>
        </w:rPr>
        <w:t xml:space="preserve">opgenomen in </w:t>
      </w:r>
      <w:r>
        <w:rPr>
          <w:szCs w:val="22"/>
          <w:lang w:val="nl-NL"/>
        </w:rPr>
        <w:t xml:space="preserve">de statistische staten AIF en CIS_SUP_1 </w:t>
      </w:r>
      <w:r w:rsidRPr="00A143D9">
        <w:rPr>
          <w:szCs w:val="22"/>
          <w:lang w:val="nl-NL"/>
        </w:rPr>
        <w:t xml:space="preserve">kritisch beoordeeld, alsook de documentatie waarop </w:t>
      </w:r>
      <w:r>
        <w:rPr>
          <w:szCs w:val="22"/>
          <w:lang w:val="nl-NL"/>
        </w:rPr>
        <w:t xml:space="preserve">deze </w:t>
      </w:r>
      <w:r w:rsidR="00165E22">
        <w:rPr>
          <w:szCs w:val="22"/>
          <w:lang w:val="nl-NL"/>
        </w:rPr>
        <w:t>gegevens</w:t>
      </w:r>
      <w:r w:rsidRPr="00A143D9">
        <w:rPr>
          <w:szCs w:val="22"/>
          <w:lang w:val="nl-NL"/>
        </w:rPr>
        <w:t xml:space="preserve"> </w:t>
      </w:r>
      <w:r>
        <w:rPr>
          <w:szCs w:val="22"/>
          <w:lang w:val="nl-NL"/>
        </w:rPr>
        <w:t xml:space="preserve">zijn </w:t>
      </w:r>
      <w:r w:rsidRPr="00A143D9">
        <w:rPr>
          <w:szCs w:val="22"/>
          <w:lang w:val="nl-NL"/>
        </w:rPr>
        <w:t>gesteund, alsmede de opzet van de interne controlemaatregele</w:t>
      </w:r>
      <w:r>
        <w:rPr>
          <w:szCs w:val="22"/>
          <w:lang w:val="nl-NL"/>
        </w:rPr>
        <w:t>n</w:t>
      </w:r>
      <w:r w:rsidRPr="00A143D9">
        <w:rPr>
          <w:szCs w:val="22"/>
          <w:lang w:val="nl-NL"/>
        </w:rPr>
        <w:t>.</w:t>
      </w:r>
      <w:r>
        <w:rPr>
          <w:szCs w:val="22"/>
          <w:lang w:val="nl-NL"/>
        </w:rPr>
        <w:t xml:space="preserve"> </w:t>
      </w:r>
      <w:r w:rsidRPr="00A143D9">
        <w:rPr>
          <w:szCs w:val="22"/>
          <w:lang w:val="nl-NL"/>
        </w:rPr>
        <w:t>Wij hebben ook gesteund op onze kennis verkregen en documentatie opgesteld in het kader van de controle van de jaarrekening en de statistieken van de instelling en haar systeem van interne controle</w:t>
      </w:r>
      <w:r>
        <w:rPr>
          <w:szCs w:val="22"/>
          <w:lang w:val="nl-NL"/>
        </w:rPr>
        <w:t>.</w:t>
      </w:r>
    </w:p>
    <w:p w14:paraId="57325AAE" w14:textId="77777777" w:rsidR="00165E22" w:rsidRDefault="00165E22" w:rsidP="00AF0530">
      <w:pPr>
        <w:jc w:val="both"/>
        <w:rPr>
          <w:szCs w:val="22"/>
          <w:lang w:val="nl-NL"/>
        </w:rPr>
      </w:pPr>
    </w:p>
    <w:p w14:paraId="6951A767" w14:textId="13D685B2" w:rsidR="00E96A73" w:rsidRDefault="00E96A73" w:rsidP="00E96A73">
      <w:pPr>
        <w:jc w:val="both"/>
        <w:rPr>
          <w:lang w:val="nl-BE"/>
        </w:rPr>
      </w:pPr>
      <w:r>
        <w:rPr>
          <w:lang w:val="nl-BE"/>
        </w:rPr>
        <w:t>Onze belangrijkste werkzaamheden, afhankelijk van de opgenomen gegevens in de statistische staten AIF en CIS_SUP_1</w:t>
      </w:r>
      <w:r w:rsidR="00F8542E">
        <w:rPr>
          <w:lang w:val="nl-BE"/>
        </w:rPr>
        <w:t>,</w:t>
      </w:r>
      <w:r>
        <w:rPr>
          <w:lang w:val="nl-BE"/>
        </w:rPr>
        <w:t xml:space="preserve"> bestonden uit:</w:t>
      </w:r>
    </w:p>
    <w:p w14:paraId="7C9017FF" w14:textId="77777777" w:rsidR="00E96A73" w:rsidRDefault="00E96A73" w:rsidP="00E96A73">
      <w:pPr>
        <w:pStyle w:val="ListParagraph"/>
        <w:numPr>
          <w:ilvl w:val="0"/>
          <w:numId w:val="11"/>
        </w:numPr>
        <w:ind w:left="426" w:hanging="426"/>
        <w:jc w:val="both"/>
        <w:rPr>
          <w:bCs/>
          <w:iCs/>
          <w:szCs w:val="22"/>
          <w:lang w:val="nl-BE"/>
        </w:rPr>
      </w:pPr>
      <w:r>
        <w:rPr>
          <w:bCs/>
          <w:iCs/>
          <w:szCs w:val="22"/>
          <w:lang w:val="nl-BE"/>
        </w:rPr>
        <w:t>De overeenstemming van de identificatiegegevens of parameters met informatie ter beschikking gesteld door de instelling van collectieve belegging;</w:t>
      </w:r>
    </w:p>
    <w:p w14:paraId="3EF57BF6" w14:textId="77777777" w:rsidR="00E96A73" w:rsidRDefault="00E96A73" w:rsidP="00E96A73">
      <w:pPr>
        <w:pStyle w:val="ListParagraph"/>
        <w:numPr>
          <w:ilvl w:val="0"/>
          <w:numId w:val="11"/>
        </w:numPr>
        <w:ind w:left="426" w:hanging="426"/>
        <w:jc w:val="both"/>
        <w:rPr>
          <w:bCs/>
          <w:iCs/>
          <w:szCs w:val="22"/>
          <w:lang w:val="nl-BE"/>
        </w:rPr>
      </w:pPr>
      <w:r>
        <w:rPr>
          <w:bCs/>
          <w:iCs/>
          <w:szCs w:val="22"/>
          <w:lang w:val="nl-BE"/>
        </w:rPr>
        <w:t>De uitvoering van reconciliaties van gerapporteerde waarden met boekhoudkundige gegevens of andere informatie die rechtstreeks beschikbaar is in de applicaties van de instelling van collectieve belegging;</w:t>
      </w:r>
    </w:p>
    <w:p w14:paraId="6AA15C9D" w14:textId="77777777" w:rsidR="00E96A73" w:rsidRDefault="00E96A73" w:rsidP="00E96A73">
      <w:pPr>
        <w:pStyle w:val="ListParagraph"/>
        <w:numPr>
          <w:ilvl w:val="0"/>
          <w:numId w:val="11"/>
        </w:numPr>
        <w:ind w:left="426" w:hanging="426"/>
        <w:jc w:val="both"/>
        <w:rPr>
          <w:bCs/>
          <w:iCs/>
          <w:szCs w:val="22"/>
          <w:lang w:val="nl-BE"/>
        </w:rPr>
      </w:pPr>
      <w:r>
        <w:rPr>
          <w:bCs/>
          <w:iCs/>
          <w:szCs w:val="22"/>
          <w:lang w:val="nl-BE"/>
        </w:rPr>
        <w:t>Het herrekenen van bepaalde gerapporteerde waarden op basis van gegevens beschikbaar in de boekhouding of andere informatie die rechtstreeks beschikbaar is in de applicaties van de instelling van collectieve belegging;</w:t>
      </w:r>
    </w:p>
    <w:p w14:paraId="22CE1DBF" w14:textId="4BA793C7" w:rsidR="00165E22" w:rsidRPr="00082474" w:rsidRDefault="00E96A73" w:rsidP="00E96A73">
      <w:pPr>
        <w:pStyle w:val="ListParagraph"/>
        <w:numPr>
          <w:ilvl w:val="0"/>
          <w:numId w:val="11"/>
        </w:numPr>
        <w:ind w:left="426" w:hanging="426"/>
        <w:jc w:val="both"/>
        <w:rPr>
          <w:szCs w:val="22"/>
          <w:lang w:val="nl-BE"/>
        </w:rPr>
      </w:pPr>
      <w:r w:rsidRPr="00082474">
        <w:rPr>
          <w:bCs/>
          <w:iCs/>
          <w:szCs w:val="22"/>
          <w:lang w:val="nl-BE"/>
        </w:rPr>
        <w:t>Het uitvoeren van een redelijkheidscontrole op basis van het beleggingsbeleid en de portefeuillesamenstelling van de compartimenten van de instelling van collectieve belegging; en</w:t>
      </w:r>
    </w:p>
    <w:p w14:paraId="247529A6" w14:textId="0D185C6F" w:rsidR="00B7088B" w:rsidRPr="00082474" w:rsidRDefault="00E96A73" w:rsidP="00E335AF">
      <w:pPr>
        <w:pStyle w:val="ListParagraph"/>
        <w:numPr>
          <w:ilvl w:val="0"/>
          <w:numId w:val="11"/>
        </w:numPr>
        <w:ind w:left="426" w:hanging="426"/>
        <w:jc w:val="both"/>
        <w:rPr>
          <w:szCs w:val="22"/>
          <w:lang w:val="nl-BE"/>
        </w:rPr>
      </w:pPr>
      <w:r w:rsidRPr="00082474">
        <w:rPr>
          <w:bCs/>
          <w:iCs/>
          <w:szCs w:val="22"/>
          <w:lang w:val="nl-BE"/>
        </w:rPr>
        <w:t xml:space="preserve">De afstemming van gerapporteerde waarden met een detail </w:t>
      </w:r>
      <w:r w:rsidR="00165E22">
        <w:rPr>
          <w:bCs/>
          <w:iCs/>
          <w:szCs w:val="22"/>
          <w:lang w:val="nl-BE"/>
        </w:rPr>
        <w:t xml:space="preserve">en/of de </w:t>
      </w:r>
      <w:r w:rsidRPr="00082474">
        <w:rPr>
          <w:bCs/>
          <w:iCs/>
          <w:szCs w:val="22"/>
          <w:lang w:val="nl-BE"/>
        </w:rPr>
        <w:t>inventaris aangeleverd door [“</w:t>
      </w:r>
      <w:r w:rsidRPr="00082474">
        <w:rPr>
          <w:bCs/>
          <w:i/>
          <w:szCs w:val="22"/>
          <w:lang w:val="nl-BE"/>
        </w:rPr>
        <w:t>de effectieve leiding</w:t>
      </w:r>
      <w:r w:rsidRPr="00082474">
        <w:rPr>
          <w:bCs/>
          <w:iCs/>
          <w:szCs w:val="22"/>
          <w:lang w:val="nl-BE"/>
        </w:rPr>
        <w:t>” of “</w:t>
      </w:r>
      <w:r w:rsidRPr="00082474">
        <w:rPr>
          <w:bCs/>
          <w:i/>
          <w:szCs w:val="22"/>
          <w:lang w:val="nl-BE"/>
        </w:rPr>
        <w:t>het directiecomité</w:t>
      </w:r>
      <w:r w:rsidRPr="00082474">
        <w:rPr>
          <w:bCs/>
          <w:iCs/>
          <w:szCs w:val="22"/>
          <w:lang w:val="nl-BE"/>
        </w:rPr>
        <w:t xml:space="preserve">”, </w:t>
      </w:r>
      <w:r w:rsidRPr="00082474">
        <w:rPr>
          <w:bCs/>
          <w:i/>
          <w:szCs w:val="22"/>
          <w:lang w:val="nl-BE"/>
        </w:rPr>
        <w:t>naar gelang</w:t>
      </w:r>
      <w:r w:rsidRPr="00082474">
        <w:rPr>
          <w:bCs/>
          <w:iCs/>
          <w:szCs w:val="22"/>
          <w:lang w:val="nl-BE"/>
        </w:rPr>
        <w:t>] van de instelling van collectieve belegging</w:t>
      </w:r>
      <w:r w:rsidR="00165E22">
        <w:rPr>
          <w:bCs/>
          <w:iCs/>
          <w:szCs w:val="22"/>
          <w:lang w:val="nl-BE"/>
        </w:rPr>
        <w:t>.</w:t>
      </w:r>
    </w:p>
    <w:p w14:paraId="621D2E5E" w14:textId="77777777" w:rsidR="00165E22" w:rsidRDefault="00165E22" w:rsidP="00E96A73">
      <w:pPr>
        <w:jc w:val="both"/>
        <w:rPr>
          <w:bCs/>
          <w:iCs/>
          <w:szCs w:val="22"/>
          <w:lang w:val="nl-BE"/>
        </w:rPr>
      </w:pPr>
    </w:p>
    <w:p w14:paraId="70438DF6" w14:textId="53D65F91" w:rsidR="00E96A73" w:rsidRDefault="00E96A73" w:rsidP="00E96A73">
      <w:pPr>
        <w:jc w:val="both"/>
        <w:rPr>
          <w:bCs/>
          <w:iCs/>
          <w:szCs w:val="22"/>
          <w:lang w:val="nl-BE"/>
        </w:rPr>
      </w:pPr>
      <w:r>
        <w:rPr>
          <w:bCs/>
          <w:iCs/>
          <w:szCs w:val="22"/>
          <w:lang w:val="nl-BE"/>
        </w:rPr>
        <w:lastRenderedPageBreak/>
        <w:t>Wij zijn van mening dat de door ons verkregen controle-informatie voldoende en geschikt is om onze conclusie te baseren.</w:t>
      </w:r>
    </w:p>
    <w:p w14:paraId="3DCB9840" w14:textId="357CD452" w:rsidR="00B7088B" w:rsidRDefault="00B7088B" w:rsidP="00AF0530">
      <w:pPr>
        <w:jc w:val="both"/>
        <w:rPr>
          <w:szCs w:val="22"/>
          <w:lang w:val="nl-BE"/>
        </w:rPr>
      </w:pPr>
    </w:p>
    <w:p w14:paraId="7EA0C3F4" w14:textId="77777777" w:rsidR="00E96A73" w:rsidRPr="00A143D9" w:rsidRDefault="00E96A73" w:rsidP="00E96A73">
      <w:pPr>
        <w:pStyle w:val="ListParagraph"/>
        <w:ind w:left="0"/>
        <w:rPr>
          <w:b/>
          <w:i/>
          <w:szCs w:val="22"/>
          <w:lang w:val="nl-BE"/>
        </w:rPr>
      </w:pPr>
      <w:r w:rsidRPr="00A143D9">
        <w:rPr>
          <w:b/>
          <w:i/>
          <w:szCs w:val="22"/>
          <w:lang w:val="nl-BE"/>
        </w:rPr>
        <w:t>Beperkingen in de uitvoering van de opdracht</w:t>
      </w:r>
    </w:p>
    <w:p w14:paraId="1D929F4F" w14:textId="77777777" w:rsidR="00E96A73" w:rsidRPr="00082474" w:rsidRDefault="00E96A73" w:rsidP="00E335AF">
      <w:pPr>
        <w:tabs>
          <w:tab w:val="num" w:pos="720"/>
        </w:tabs>
        <w:rPr>
          <w:szCs w:val="22"/>
          <w:lang w:val="nl-BE"/>
        </w:rPr>
      </w:pPr>
    </w:p>
    <w:p w14:paraId="1CF6521F" w14:textId="7A9EBE46" w:rsidR="00E96A73" w:rsidRPr="00A143D9" w:rsidRDefault="00E96A73" w:rsidP="00E96A73">
      <w:pPr>
        <w:pStyle w:val="ListParagraph"/>
        <w:numPr>
          <w:ilvl w:val="0"/>
          <w:numId w:val="15"/>
        </w:numPr>
        <w:spacing w:before="120" w:after="120" w:line="240" w:lineRule="auto"/>
        <w:ind w:hanging="294"/>
        <w:contextualSpacing/>
        <w:rPr>
          <w:szCs w:val="22"/>
          <w:lang w:val="nl-BE"/>
        </w:rPr>
      </w:pPr>
      <w:r w:rsidRPr="00A143D9">
        <w:rPr>
          <w:szCs w:val="22"/>
          <w:lang w:val="nl-BE"/>
        </w:rPr>
        <w:t xml:space="preserve">de effectiviteit van de interne controlemaatregelen werd niet </w:t>
      </w:r>
      <w:r w:rsidR="006B5E3A">
        <w:rPr>
          <w:szCs w:val="22"/>
          <w:lang w:val="nl-BE"/>
        </w:rPr>
        <w:t xml:space="preserve">door ons </w:t>
      </w:r>
      <w:r w:rsidRPr="00A143D9">
        <w:rPr>
          <w:szCs w:val="22"/>
          <w:lang w:val="nl-BE"/>
        </w:rPr>
        <w:t>beoordeeld;</w:t>
      </w:r>
    </w:p>
    <w:p w14:paraId="30B9407C" w14:textId="77777777" w:rsidR="00E96A73" w:rsidRPr="00A143D9" w:rsidRDefault="00E96A73" w:rsidP="00E96A73">
      <w:pPr>
        <w:pStyle w:val="ListParagraph"/>
        <w:tabs>
          <w:tab w:val="num" w:pos="720"/>
        </w:tabs>
        <w:ind w:hanging="294"/>
        <w:rPr>
          <w:szCs w:val="22"/>
          <w:lang w:val="nl-BE"/>
        </w:rPr>
      </w:pPr>
    </w:p>
    <w:p w14:paraId="4DEBAAFD" w14:textId="1C1FF53F" w:rsidR="00E96A73" w:rsidRPr="00A143D9" w:rsidRDefault="00631C4A" w:rsidP="00E96A73">
      <w:pPr>
        <w:pStyle w:val="ListParagraph"/>
        <w:numPr>
          <w:ilvl w:val="0"/>
          <w:numId w:val="15"/>
        </w:numPr>
        <w:spacing w:before="120" w:after="120" w:line="240" w:lineRule="auto"/>
        <w:ind w:hanging="294"/>
        <w:contextualSpacing/>
        <w:rPr>
          <w:szCs w:val="22"/>
          <w:lang w:val="nl-BE"/>
        </w:rPr>
      </w:pPr>
      <w:r w:rsidRPr="00E335AF">
        <w:rPr>
          <w:szCs w:val="22"/>
          <w:lang w:val="nl-BE"/>
        </w:rPr>
        <w:t xml:space="preserve">noch </w:t>
      </w:r>
      <w:r w:rsidR="00E96A73" w:rsidRPr="009C22B0">
        <w:rPr>
          <w:rFonts w:cstheme="minorHAnsi"/>
          <w:lang w:val="gsw-FR"/>
        </w:rPr>
        <w:t>de interne modellen, noch de bijkomende assumpties die door de ICB gemaakt worden</w:t>
      </w:r>
      <w:r w:rsidR="006B5E3A">
        <w:rPr>
          <w:rFonts w:cstheme="minorHAnsi"/>
          <w:lang w:val="gsw-FR"/>
        </w:rPr>
        <w:t>, werden door ons gevalideerd.</w:t>
      </w:r>
    </w:p>
    <w:p w14:paraId="650B92DC" w14:textId="77777777" w:rsidR="00E96A73" w:rsidRPr="00A143D9" w:rsidRDefault="00E96A73" w:rsidP="00E96A73">
      <w:pPr>
        <w:pStyle w:val="ListParagraph"/>
        <w:tabs>
          <w:tab w:val="num" w:pos="720"/>
        </w:tabs>
        <w:ind w:hanging="294"/>
        <w:rPr>
          <w:szCs w:val="22"/>
          <w:lang w:val="nl-BE"/>
        </w:rPr>
      </w:pPr>
    </w:p>
    <w:p w14:paraId="080DF1CB" w14:textId="77777777" w:rsidR="00E96A73" w:rsidRPr="00A143D9" w:rsidRDefault="00E96A73" w:rsidP="00E96A73">
      <w:pPr>
        <w:pStyle w:val="ListParagraph"/>
        <w:numPr>
          <w:ilvl w:val="0"/>
          <w:numId w:val="15"/>
        </w:numPr>
        <w:spacing w:before="120" w:after="120" w:line="240" w:lineRule="auto"/>
        <w:ind w:hanging="294"/>
        <w:contextualSpacing/>
        <w:rPr>
          <w:szCs w:val="22"/>
          <w:lang w:val="nl-BE"/>
        </w:rPr>
      </w:pPr>
      <w:r w:rsidRPr="00A143D9">
        <w:rPr>
          <w:i/>
          <w:szCs w:val="22"/>
          <w:lang w:val="nl-BE"/>
        </w:rPr>
        <w:t xml:space="preserve">[te vervolledigen met andere beperkingen als gevolg van de professionele beoordeling door de </w:t>
      </w:r>
      <w:r w:rsidRPr="00A143D9">
        <w:rPr>
          <w:i/>
          <w:szCs w:val="22"/>
          <w:lang w:val="nl-NL"/>
        </w:rPr>
        <w:t>[“Commissaris” of “Erkend Revisor”, naar gelang]</w:t>
      </w:r>
      <w:r w:rsidRPr="00A143D9">
        <w:rPr>
          <w:i/>
          <w:szCs w:val="22"/>
          <w:lang w:val="nl-BE"/>
        </w:rPr>
        <w:t xml:space="preserve"> van de toestand]</w:t>
      </w:r>
      <w:r w:rsidRPr="00A143D9">
        <w:rPr>
          <w:szCs w:val="22"/>
          <w:lang w:val="nl-BE"/>
        </w:rPr>
        <w:t>.</w:t>
      </w:r>
    </w:p>
    <w:p w14:paraId="7A3B6B37" w14:textId="548D20C7" w:rsidR="00542B60" w:rsidRDefault="00542B60" w:rsidP="00B7088B">
      <w:pPr>
        <w:jc w:val="both"/>
        <w:rPr>
          <w:bCs/>
          <w:iCs/>
          <w:szCs w:val="22"/>
          <w:lang w:val="nl-BE"/>
        </w:rPr>
      </w:pPr>
    </w:p>
    <w:p w14:paraId="452F5F9D" w14:textId="6E25C639" w:rsidR="00542B60" w:rsidRDefault="00CF351C" w:rsidP="00B7088B">
      <w:pPr>
        <w:jc w:val="both"/>
        <w:rPr>
          <w:b/>
          <w:i/>
          <w:szCs w:val="22"/>
          <w:lang w:val="nl-BE"/>
        </w:rPr>
      </w:pPr>
      <w:r w:rsidRPr="00CF351C">
        <w:rPr>
          <w:b/>
          <w:i/>
          <w:szCs w:val="22"/>
          <w:lang w:val="nl-BE"/>
        </w:rPr>
        <w:t>Conclusie</w:t>
      </w:r>
    </w:p>
    <w:p w14:paraId="6E6A7105" w14:textId="546A69EB" w:rsidR="00CF351C" w:rsidRDefault="00CF351C" w:rsidP="00B7088B">
      <w:pPr>
        <w:jc w:val="both"/>
        <w:rPr>
          <w:bCs/>
          <w:iCs/>
          <w:szCs w:val="22"/>
          <w:lang w:val="nl-BE"/>
        </w:rPr>
      </w:pPr>
    </w:p>
    <w:p w14:paraId="116E5203" w14:textId="2D32A274" w:rsidR="00DA5B26" w:rsidRDefault="00DA5B26" w:rsidP="00B7088B">
      <w:pPr>
        <w:jc w:val="both"/>
        <w:rPr>
          <w:bCs/>
          <w:iCs/>
          <w:szCs w:val="22"/>
          <w:lang w:val="nl-BE"/>
        </w:rPr>
      </w:pPr>
      <w:r>
        <w:rPr>
          <w:bCs/>
          <w:iCs/>
          <w:szCs w:val="22"/>
          <w:lang w:val="nl-BE"/>
        </w:rPr>
        <w:t xml:space="preserve">Op </w:t>
      </w:r>
      <w:r w:rsidR="006A0E44">
        <w:rPr>
          <w:bCs/>
          <w:iCs/>
          <w:szCs w:val="22"/>
          <w:lang w:val="nl-BE"/>
        </w:rPr>
        <w:t>basis van de door ons uitgevoerde werkzaamheden bleek niets</w:t>
      </w:r>
      <w:r w:rsidR="007D0C02">
        <w:rPr>
          <w:bCs/>
          <w:iCs/>
          <w:szCs w:val="22"/>
          <w:lang w:val="nl-BE"/>
        </w:rPr>
        <w:t xml:space="preserve"> ons te doen </w:t>
      </w:r>
      <w:r w:rsidR="00F4462D">
        <w:rPr>
          <w:bCs/>
          <w:iCs/>
          <w:szCs w:val="22"/>
          <w:lang w:val="nl-BE"/>
        </w:rPr>
        <w:t>veronderstellen</w:t>
      </w:r>
      <w:r w:rsidR="00F8542E">
        <w:rPr>
          <w:bCs/>
          <w:iCs/>
          <w:szCs w:val="22"/>
          <w:lang w:val="nl-BE"/>
        </w:rPr>
        <w:t xml:space="preserve"> </w:t>
      </w:r>
      <w:r w:rsidR="007D0C02">
        <w:rPr>
          <w:bCs/>
          <w:iCs/>
          <w:szCs w:val="22"/>
          <w:lang w:val="nl-BE"/>
        </w:rPr>
        <w:t xml:space="preserve">dat de </w:t>
      </w:r>
      <w:r w:rsidR="006B5E3A">
        <w:rPr>
          <w:bCs/>
          <w:iCs/>
          <w:szCs w:val="22"/>
          <w:lang w:val="nl-BE"/>
        </w:rPr>
        <w:t xml:space="preserve">niet-financiële </w:t>
      </w:r>
      <w:r w:rsidR="007D0C02">
        <w:rPr>
          <w:bCs/>
          <w:iCs/>
          <w:szCs w:val="22"/>
          <w:lang w:val="nl-BE"/>
        </w:rPr>
        <w:t>gegevens opgenomen in de statistische sta</w:t>
      </w:r>
      <w:r w:rsidR="001704AD">
        <w:rPr>
          <w:bCs/>
          <w:iCs/>
          <w:szCs w:val="22"/>
          <w:lang w:val="nl-BE"/>
        </w:rPr>
        <w:t>ten</w:t>
      </w:r>
      <w:r w:rsidR="007D0C02">
        <w:rPr>
          <w:bCs/>
          <w:iCs/>
          <w:szCs w:val="22"/>
          <w:lang w:val="nl-BE"/>
        </w:rPr>
        <w:t xml:space="preserve"> AIF</w:t>
      </w:r>
      <w:r w:rsidR="001704AD">
        <w:rPr>
          <w:bCs/>
          <w:iCs/>
          <w:szCs w:val="22"/>
          <w:lang w:val="nl-BE"/>
        </w:rPr>
        <w:t xml:space="preserve"> en CIS_SUP_1</w:t>
      </w:r>
      <w:r w:rsidR="007D0C02">
        <w:rPr>
          <w:bCs/>
          <w:iCs/>
          <w:szCs w:val="22"/>
          <w:lang w:val="nl-BE"/>
        </w:rPr>
        <w:t xml:space="preserve"> niet zijn opgesteld, in alle materiële opzichten, in overeenstemming met de instructies van de FSMA</w:t>
      </w:r>
      <w:r w:rsidR="00070A1E">
        <w:rPr>
          <w:bCs/>
          <w:iCs/>
          <w:szCs w:val="22"/>
          <w:lang w:val="nl-BE"/>
        </w:rPr>
        <w:t xml:space="preserve">. </w:t>
      </w:r>
    </w:p>
    <w:p w14:paraId="71E51146" w14:textId="77777777" w:rsidR="00A847DB" w:rsidRDefault="00A847DB" w:rsidP="00175269">
      <w:pPr>
        <w:jc w:val="both"/>
        <w:rPr>
          <w:b/>
          <w:i/>
          <w:szCs w:val="22"/>
          <w:lang w:val="nl-BE"/>
        </w:rPr>
      </w:pPr>
    </w:p>
    <w:p w14:paraId="36FB66F5" w14:textId="22609F30" w:rsidR="00175269" w:rsidRDefault="00175269" w:rsidP="00175269">
      <w:pPr>
        <w:jc w:val="both"/>
        <w:rPr>
          <w:szCs w:val="22"/>
          <w:lang w:val="nl-BE"/>
        </w:rPr>
      </w:pPr>
      <w:r w:rsidRPr="002138AF">
        <w:rPr>
          <w:szCs w:val="22"/>
          <w:lang w:val="nl-BE"/>
        </w:rPr>
        <w:t xml:space="preserve">De conclusie en de bijkomende bevestigingen hebben betrekking op de statistieken opgesteld voor </w:t>
      </w:r>
      <w:r w:rsidRPr="002138AF">
        <w:rPr>
          <w:i/>
          <w:szCs w:val="22"/>
          <w:lang w:val="nl-BE"/>
        </w:rPr>
        <w:t>[identificatie van de instelling]</w:t>
      </w:r>
      <w:r w:rsidRPr="002138AF">
        <w:rPr>
          <w:szCs w:val="22"/>
          <w:lang w:val="nl-BE"/>
        </w:rPr>
        <w:t xml:space="preserve"> en ieder van de afzonderlijke compartimenten.</w:t>
      </w:r>
      <w:r w:rsidRPr="0032351D">
        <w:rPr>
          <w:szCs w:val="22"/>
          <w:lang w:val="nl-BE"/>
        </w:rPr>
        <w:t xml:space="preserve"> </w:t>
      </w:r>
    </w:p>
    <w:p w14:paraId="0D8696F6" w14:textId="54343C26" w:rsidR="00435493" w:rsidRDefault="00435493" w:rsidP="00435493">
      <w:pPr>
        <w:jc w:val="both"/>
        <w:rPr>
          <w:b/>
          <w:i/>
          <w:szCs w:val="22"/>
          <w:lang w:val="nl-BE"/>
        </w:rPr>
      </w:pPr>
    </w:p>
    <w:p w14:paraId="72F4662D" w14:textId="77777777" w:rsidR="00E767A1" w:rsidRDefault="00E767A1" w:rsidP="00435493">
      <w:pPr>
        <w:jc w:val="both"/>
        <w:rPr>
          <w:b/>
          <w:i/>
          <w:szCs w:val="22"/>
          <w:lang w:val="nl-BE"/>
        </w:rPr>
      </w:pPr>
    </w:p>
    <w:p w14:paraId="3B3B0A06" w14:textId="2A56E81D" w:rsidR="00435493" w:rsidRPr="00E335AF" w:rsidRDefault="00435493" w:rsidP="00E335AF">
      <w:pPr>
        <w:pStyle w:val="ListParagraph"/>
        <w:numPr>
          <w:ilvl w:val="0"/>
          <w:numId w:val="9"/>
        </w:numPr>
        <w:ind w:left="284" w:hanging="284"/>
        <w:jc w:val="both"/>
        <w:rPr>
          <w:b/>
          <w:iCs/>
          <w:szCs w:val="22"/>
          <w:lang w:val="nl-BE"/>
        </w:rPr>
      </w:pPr>
      <w:r w:rsidRPr="00E335AF">
        <w:rPr>
          <w:b/>
          <w:iCs/>
          <w:szCs w:val="22"/>
          <w:lang w:val="nl-BE"/>
        </w:rPr>
        <w:t>Beperkingen inzake gebruik en verspreiding voorliggende rapportering</w:t>
      </w:r>
    </w:p>
    <w:p w14:paraId="62FC6816" w14:textId="77777777" w:rsidR="00435493" w:rsidRPr="0032351D" w:rsidRDefault="00435493" w:rsidP="00435493">
      <w:pPr>
        <w:jc w:val="both"/>
        <w:rPr>
          <w:b/>
          <w:i/>
          <w:szCs w:val="22"/>
          <w:lang w:val="nl-BE"/>
        </w:rPr>
      </w:pPr>
    </w:p>
    <w:p w14:paraId="08320104" w14:textId="346D022E" w:rsidR="00435493" w:rsidRPr="0032351D" w:rsidRDefault="00435493" w:rsidP="00435493">
      <w:pPr>
        <w:jc w:val="both"/>
        <w:rPr>
          <w:szCs w:val="22"/>
          <w:lang w:val="nl-BE"/>
        </w:rPr>
      </w:pPr>
      <w:r w:rsidRPr="0032351D">
        <w:rPr>
          <w:szCs w:val="22"/>
          <w:lang w:val="nl-BE"/>
        </w:rPr>
        <w:t>De statist</w:t>
      </w:r>
      <w:r>
        <w:rPr>
          <w:szCs w:val="22"/>
          <w:lang w:val="nl-BE"/>
        </w:rPr>
        <w:t xml:space="preserve">ische staten </w:t>
      </w:r>
      <w:r w:rsidRPr="0032351D">
        <w:rPr>
          <w:szCs w:val="22"/>
          <w:lang w:val="nl-BE"/>
        </w:rPr>
        <w:t>werd</w:t>
      </w:r>
      <w:r>
        <w:rPr>
          <w:szCs w:val="22"/>
          <w:lang w:val="nl-BE"/>
        </w:rPr>
        <w:t xml:space="preserve">en </w:t>
      </w:r>
      <w:r w:rsidRPr="0032351D">
        <w:rPr>
          <w:szCs w:val="22"/>
          <w:lang w:val="nl-BE"/>
        </w:rPr>
        <w:t>opgesteld om te voldoen aan de door de FSMA gestelde vereisten inzake periodieke rapportering. Als gevolg daarvan zijn de statistieken mogelijk niet geschikt voor andere doeleinden.</w:t>
      </w:r>
    </w:p>
    <w:p w14:paraId="015DB4F3" w14:textId="77777777" w:rsidR="00435493" w:rsidRPr="0032351D" w:rsidRDefault="00435493" w:rsidP="00435493">
      <w:pPr>
        <w:jc w:val="both"/>
        <w:rPr>
          <w:szCs w:val="22"/>
          <w:lang w:val="nl-BE"/>
        </w:rPr>
      </w:pPr>
    </w:p>
    <w:p w14:paraId="02F36E20" w14:textId="77777777" w:rsidR="00435493" w:rsidRPr="0032351D" w:rsidRDefault="00435493" w:rsidP="00435493">
      <w:pPr>
        <w:jc w:val="both"/>
        <w:rPr>
          <w:szCs w:val="22"/>
          <w:lang w:val="nl-BE"/>
        </w:rPr>
      </w:pPr>
      <w:r w:rsidRPr="0032351D">
        <w:rPr>
          <w:szCs w:val="22"/>
          <w:lang w:val="nl-BE"/>
        </w:rPr>
        <w:t xml:space="preserve">Voorliggende rapportering kadert in de medewerkingsopdracht van de erkende revisoren aan het toezicht van de FSMA en mag voor geen andere doeleinden worden gebruikt. </w:t>
      </w:r>
    </w:p>
    <w:p w14:paraId="4FD47CAB" w14:textId="77777777" w:rsidR="00435493" w:rsidRPr="0032351D" w:rsidRDefault="00435493" w:rsidP="00435493">
      <w:pPr>
        <w:jc w:val="both"/>
        <w:rPr>
          <w:szCs w:val="22"/>
          <w:lang w:val="nl-BE"/>
        </w:rPr>
      </w:pPr>
    </w:p>
    <w:p w14:paraId="5FC51BD4" w14:textId="726D4112" w:rsidR="00175269" w:rsidRPr="00DA5B26" w:rsidRDefault="00435493" w:rsidP="00435493">
      <w:pPr>
        <w:jc w:val="both"/>
        <w:rPr>
          <w:bCs/>
          <w:iCs/>
          <w:szCs w:val="22"/>
          <w:lang w:val="nl-BE"/>
        </w:rPr>
      </w:pPr>
      <w:r w:rsidRPr="0032351D">
        <w:rPr>
          <w:szCs w:val="22"/>
          <w:lang w:val="nl-BE"/>
        </w:rPr>
        <w:t xml:space="preserve">Een kopie van de rapportering wordt overgemaakt aan </w:t>
      </w:r>
      <w:r w:rsidRPr="0032351D">
        <w:rPr>
          <w:i/>
          <w:szCs w:val="22"/>
          <w:lang w:val="nl-BE"/>
        </w:rPr>
        <w:t xml:space="preserve">[“de effectieve leiding” of “de </w:t>
      </w:r>
      <w:r>
        <w:rPr>
          <w:i/>
          <w:szCs w:val="22"/>
          <w:lang w:val="nl-BE"/>
        </w:rPr>
        <w:t>raad van bestuur</w:t>
      </w:r>
      <w:r w:rsidRPr="0032351D">
        <w:rPr>
          <w:i/>
          <w:szCs w:val="22"/>
          <w:lang w:val="nl-BE"/>
        </w:rPr>
        <w:t>”, naargelang]</w:t>
      </w:r>
      <w:r w:rsidRPr="0032351D">
        <w:rPr>
          <w:szCs w:val="22"/>
          <w:lang w:val="nl-BE"/>
        </w:rPr>
        <w:t>. Wij wijzen erop dat deze rapportage niet (geheel of gedeeltelijk) aan derden mag worden verspreid zonder onze uitdrukkelijke voorafgaande toestemming</w:t>
      </w:r>
      <w:r w:rsidR="00A56E5E">
        <w:rPr>
          <w:szCs w:val="22"/>
          <w:lang w:val="nl-BE"/>
        </w:rPr>
        <w:t>.</w:t>
      </w:r>
    </w:p>
    <w:p w14:paraId="26DB7D4C" w14:textId="024975DF" w:rsidR="002748C3" w:rsidRDefault="002748C3" w:rsidP="00AF0530">
      <w:pPr>
        <w:jc w:val="both"/>
        <w:rPr>
          <w:szCs w:val="22"/>
          <w:lang w:val="nl-BE"/>
        </w:rPr>
      </w:pPr>
    </w:p>
    <w:p w14:paraId="573BA93A" w14:textId="77777777" w:rsidR="00A847DB" w:rsidRPr="0032351D" w:rsidRDefault="00A847DB" w:rsidP="00AF0530">
      <w:pPr>
        <w:jc w:val="both"/>
        <w:rPr>
          <w:szCs w:val="22"/>
          <w:lang w:val="nl-BE"/>
        </w:rPr>
      </w:pPr>
    </w:p>
    <w:p w14:paraId="3318033E" w14:textId="77777777" w:rsidR="00292B7B" w:rsidRDefault="00292B7B" w:rsidP="00AF0530">
      <w:pPr>
        <w:jc w:val="both"/>
        <w:rPr>
          <w:i/>
          <w:szCs w:val="22"/>
          <w:lang w:val="nl-BE"/>
        </w:rPr>
      </w:pPr>
    </w:p>
    <w:p w14:paraId="4F7B3CDF" w14:textId="77777777" w:rsidR="00292B7B" w:rsidRDefault="00292B7B" w:rsidP="00AF0530">
      <w:pPr>
        <w:jc w:val="both"/>
        <w:rPr>
          <w:i/>
          <w:szCs w:val="22"/>
          <w:lang w:val="nl-BE"/>
        </w:rPr>
      </w:pPr>
    </w:p>
    <w:p w14:paraId="4D628601" w14:textId="3B41342C" w:rsidR="00E80257" w:rsidRPr="0032351D" w:rsidRDefault="00E80257" w:rsidP="00AF0530">
      <w:pPr>
        <w:jc w:val="both"/>
        <w:rPr>
          <w:i/>
          <w:szCs w:val="22"/>
          <w:lang w:val="nl-BE"/>
        </w:rPr>
      </w:pPr>
      <w:r w:rsidRPr="0032351D">
        <w:rPr>
          <w:i/>
          <w:szCs w:val="22"/>
          <w:lang w:val="nl-BE"/>
        </w:rPr>
        <w:t>[Vestigingsplaats, datum en handtekening</w:t>
      </w:r>
    </w:p>
    <w:p w14:paraId="57BBB372" w14:textId="77777777" w:rsidR="00E80257" w:rsidRPr="0032351D" w:rsidRDefault="00E80257" w:rsidP="00AF0530">
      <w:pPr>
        <w:jc w:val="both"/>
        <w:rPr>
          <w:szCs w:val="22"/>
          <w:lang w:val="nl-BE"/>
        </w:rPr>
      </w:pPr>
    </w:p>
    <w:p w14:paraId="56E00982" w14:textId="77777777" w:rsidR="00E80257" w:rsidRPr="0032351D" w:rsidRDefault="00E80257" w:rsidP="00AF0530">
      <w:pPr>
        <w:jc w:val="both"/>
        <w:rPr>
          <w:i/>
          <w:szCs w:val="22"/>
          <w:lang w:val="nl-BE"/>
        </w:rPr>
      </w:pPr>
      <w:r w:rsidRPr="0032351D">
        <w:rPr>
          <w:i/>
          <w:szCs w:val="22"/>
          <w:lang w:val="nl-BE"/>
        </w:rPr>
        <w:t>Naam van de “</w:t>
      </w:r>
      <w:r w:rsidRPr="0032351D">
        <w:rPr>
          <w:i/>
          <w:szCs w:val="22"/>
          <w:lang w:val="nl-NL"/>
        </w:rPr>
        <w:t xml:space="preserve">Commissaris” </w:t>
      </w:r>
      <w:r w:rsidRPr="0032351D">
        <w:rPr>
          <w:i/>
          <w:szCs w:val="22"/>
          <w:lang w:val="nl-BE"/>
        </w:rPr>
        <w:t>of “Erkend Revisor”, naar gelang</w:t>
      </w:r>
    </w:p>
    <w:p w14:paraId="6BD9AC0C" w14:textId="77777777" w:rsidR="00E80257" w:rsidRPr="0032351D" w:rsidRDefault="00E80257" w:rsidP="00AF0530">
      <w:pPr>
        <w:jc w:val="both"/>
        <w:rPr>
          <w:i/>
          <w:szCs w:val="22"/>
          <w:lang w:val="nl-BE"/>
        </w:rPr>
      </w:pPr>
    </w:p>
    <w:p w14:paraId="18AA30D0" w14:textId="77777777" w:rsidR="00E80257" w:rsidRPr="0032351D" w:rsidRDefault="00E80257" w:rsidP="00AF0530">
      <w:pPr>
        <w:jc w:val="both"/>
        <w:rPr>
          <w:i/>
          <w:szCs w:val="22"/>
          <w:lang w:val="nl-BE"/>
        </w:rPr>
      </w:pPr>
      <w:r w:rsidRPr="0032351D">
        <w:rPr>
          <w:i/>
          <w:szCs w:val="22"/>
          <w:lang w:val="nl-BE"/>
        </w:rPr>
        <w:t>Naam vertegenwoordiger, naargelang</w:t>
      </w:r>
    </w:p>
    <w:p w14:paraId="541F5721" w14:textId="77777777" w:rsidR="00E80257" w:rsidRPr="0032351D" w:rsidRDefault="00E80257" w:rsidP="00AF0530">
      <w:pPr>
        <w:jc w:val="both"/>
        <w:rPr>
          <w:i/>
          <w:szCs w:val="22"/>
          <w:lang w:val="nl-BE"/>
        </w:rPr>
      </w:pPr>
    </w:p>
    <w:p w14:paraId="515E7656" w14:textId="54F95F26" w:rsidR="00E80257" w:rsidRPr="0032351D" w:rsidRDefault="00E80257" w:rsidP="00AF0530">
      <w:pPr>
        <w:jc w:val="both"/>
        <w:rPr>
          <w:szCs w:val="22"/>
        </w:rPr>
      </w:pPr>
      <w:r w:rsidRPr="0032351D">
        <w:rPr>
          <w:i/>
          <w:szCs w:val="22"/>
          <w:lang w:val="nl-BE"/>
        </w:rPr>
        <w:t>Adres]</w:t>
      </w:r>
      <w:bookmarkStart w:id="1" w:name="_Toc33779533"/>
      <w:bookmarkStart w:id="2" w:name="_Toc33779608"/>
      <w:bookmarkStart w:id="3" w:name="_Toc33779682"/>
      <w:bookmarkStart w:id="4" w:name="_Toc33779754"/>
      <w:bookmarkStart w:id="5" w:name="_Toc33779534"/>
      <w:bookmarkStart w:id="6" w:name="_Toc33779609"/>
      <w:bookmarkStart w:id="7" w:name="_Toc33779683"/>
      <w:bookmarkStart w:id="8" w:name="_Toc33779755"/>
      <w:bookmarkStart w:id="9" w:name="_Toc33779535"/>
      <w:bookmarkStart w:id="10" w:name="_Toc33779610"/>
      <w:bookmarkStart w:id="11" w:name="_Toc33779684"/>
      <w:bookmarkStart w:id="12" w:name="_Toc33779756"/>
      <w:bookmarkStart w:id="13" w:name="_Toc33779536"/>
      <w:bookmarkStart w:id="14" w:name="_Toc33779611"/>
      <w:bookmarkStart w:id="15" w:name="_Toc33779685"/>
      <w:bookmarkStart w:id="16" w:name="_Toc3377975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FEEA9EB" w14:textId="77777777" w:rsidR="001C7FB4" w:rsidRDefault="001C7FB4"/>
    <w:sectPr w:rsidR="001C7FB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C248A" w14:textId="77777777" w:rsidR="006965BE" w:rsidRDefault="006965BE" w:rsidP="00E80257">
      <w:pPr>
        <w:spacing w:line="240" w:lineRule="auto"/>
      </w:pPr>
      <w:r>
        <w:separator/>
      </w:r>
    </w:p>
  </w:endnote>
  <w:endnote w:type="continuationSeparator" w:id="0">
    <w:p w14:paraId="50BC416C" w14:textId="77777777" w:rsidR="006965BE" w:rsidRDefault="006965BE" w:rsidP="00E80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D47A" w14:textId="77777777" w:rsidR="004564CE" w:rsidRDefault="00456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119840"/>
      <w:docPartObj>
        <w:docPartGallery w:val="Page Numbers (Bottom of Page)"/>
        <w:docPartUnique/>
      </w:docPartObj>
    </w:sdtPr>
    <w:sdtEndPr/>
    <w:sdtContent>
      <w:sdt>
        <w:sdtPr>
          <w:id w:val="-1769616900"/>
          <w:docPartObj>
            <w:docPartGallery w:val="Page Numbers (Top of Page)"/>
            <w:docPartUnique/>
          </w:docPartObj>
        </w:sdtPr>
        <w:sdtEndPr/>
        <w:sdtContent>
          <w:p w14:paraId="6E7D1FC7" w14:textId="77777777" w:rsidR="004564CE" w:rsidRDefault="004564CE">
            <w:pPr>
              <w:pStyle w:val="Footer"/>
              <w:jc w:val="right"/>
            </w:pPr>
            <w:r w:rsidRPr="004564CE">
              <w:rPr>
                <w:sz w:val="18"/>
                <w:szCs w:val="18"/>
              </w:rPr>
              <w:t xml:space="preserve">Page </w:t>
            </w:r>
            <w:r w:rsidRPr="004564CE">
              <w:rPr>
                <w:b/>
                <w:bCs/>
                <w:sz w:val="18"/>
                <w:szCs w:val="18"/>
              </w:rPr>
              <w:fldChar w:fldCharType="begin"/>
            </w:r>
            <w:r w:rsidRPr="004564CE">
              <w:rPr>
                <w:b/>
                <w:bCs/>
                <w:sz w:val="18"/>
                <w:szCs w:val="18"/>
              </w:rPr>
              <w:instrText xml:space="preserve"> PAGE </w:instrText>
            </w:r>
            <w:r w:rsidRPr="004564CE">
              <w:rPr>
                <w:b/>
                <w:bCs/>
                <w:sz w:val="18"/>
                <w:szCs w:val="18"/>
              </w:rPr>
              <w:fldChar w:fldCharType="separate"/>
            </w:r>
            <w:r w:rsidRPr="004564CE">
              <w:rPr>
                <w:b/>
                <w:bCs/>
                <w:noProof/>
                <w:sz w:val="18"/>
                <w:szCs w:val="18"/>
              </w:rPr>
              <w:t>2</w:t>
            </w:r>
            <w:r w:rsidRPr="004564CE">
              <w:rPr>
                <w:b/>
                <w:bCs/>
                <w:sz w:val="18"/>
                <w:szCs w:val="18"/>
              </w:rPr>
              <w:fldChar w:fldCharType="end"/>
            </w:r>
            <w:r w:rsidRPr="004564CE">
              <w:rPr>
                <w:sz w:val="18"/>
                <w:szCs w:val="18"/>
              </w:rPr>
              <w:t xml:space="preserve"> of </w:t>
            </w:r>
            <w:r w:rsidRPr="004564CE">
              <w:rPr>
                <w:b/>
                <w:bCs/>
                <w:sz w:val="18"/>
                <w:szCs w:val="18"/>
              </w:rPr>
              <w:fldChar w:fldCharType="begin"/>
            </w:r>
            <w:r w:rsidRPr="004564CE">
              <w:rPr>
                <w:b/>
                <w:bCs/>
                <w:sz w:val="18"/>
                <w:szCs w:val="18"/>
              </w:rPr>
              <w:instrText xml:space="preserve"> NUMPAGES  </w:instrText>
            </w:r>
            <w:r w:rsidRPr="004564CE">
              <w:rPr>
                <w:b/>
                <w:bCs/>
                <w:sz w:val="18"/>
                <w:szCs w:val="18"/>
              </w:rPr>
              <w:fldChar w:fldCharType="separate"/>
            </w:r>
            <w:r w:rsidRPr="004564CE">
              <w:rPr>
                <w:b/>
                <w:bCs/>
                <w:noProof/>
                <w:sz w:val="18"/>
                <w:szCs w:val="18"/>
              </w:rPr>
              <w:t>2</w:t>
            </w:r>
            <w:r w:rsidRPr="004564CE">
              <w:rPr>
                <w:b/>
                <w:bCs/>
                <w:sz w:val="18"/>
                <w:szCs w:val="18"/>
              </w:rPr>
              <w:fldChar w:fldCharType="end"/>
            </w:r>
          </w:p>
        </w:sdtContent>
      </w:sdt>
    </w:sdtContent>
  </w:sdt>
  <w:p w14:paraId="51391605" w14:textId="77777777" w:rsidR="004564CE" w:rsidRDefault="00456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785E" w14:textId="77777777" w:rsidR="004564CE" w:rsidRDefault="00456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AD0F" w14:textId="77777777" w:rsidR="006965BE" w:rsidRDefault="006965BE" w:rsidP="00E80257">
      <w:pPr>
        <w:spacing w:line="240" w:lineRule="auto"/>
      </w:pPr>
      <w:r>
        <w:separator/>
      </w:r>
    </w:p>
  </w:footnote>
  <w:footnote w:type="continuationSeparator" w:id="0">
    <w:p w14:paraId="38426DBF" w14:textId="77777777" w:rsidR="006965BE" w:rsidRDefault="006965BE" w:rsidP="00E80257">
      <w:pPr>
        <w:spacing w:line="240" w:lineRule="auto"/>
      </w:pPr>
      <w:r>
        <w:continuationSeparator/>
      </w:r>
    </w:p>
  </w:footnote>
  <w:footnote w:id="1">
    <w:p w14:paraId="416FCE7A" w14:textId="77777777" w:rsidR="00B25B4C" w:rsidRPr="008A66AC" w:rsidRDefault="00B25B4C" w:rsidP="00B25B4C">
      <w:pPr>
        <w:autoSpaceDE w:val="0"/>
        <w:autoSpaceDN w:val="0"/>
        <w:adjustRightInd w:val="0"/>
        <w:spacing w:line="240" w:lineRule="auto"/>
        <w:contextualSpacing/>
        <w:jc w:val="both"/>
        <w:rPr>
          <w:rFonts w:ascii="Arial" w:hAnsi="Arial" w:cs="Arial"/>
          <w:sz w:val="16"/>
          <w:szCs w:val="16"/>
          <w:lang w:val="nl-BE"/>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bedrag van de inschrijvingen dat in aanmerking dient genomen te worden voor de berekening van de</w:t>
      </w:r>
      <w:r>
        <w:rPr>
          <w:sz w:val="18"/>
          <w:szCs w:val="18"/>
          <w:lang w:val="nl-NL" w:eastAsia="nl-NL"/>
        </w:rPr>
        <w:t xml:space="preserve"> </w:t>
      </w:r>
      <w:r w:rsidRPr="0032351D">
        <w:rPr>
          <w:sz w:val="18"/>
          <w:lang w:val="nl-NL" w:eastAsia="nl-NL"/>
        </w:rPr>
        <w:t>vergoeding</w:t>
      </w:r>
      <w:r>
        <w:rPr>
          <w:sz w:val="18"/>
          <w:lang w:val="nl-NL" w:eastAsia="nl-NL"/>
        </w:rPr>
        <w:t xml:space="preserve"> </w:t>
      </w:r>
      <w:r w:rsidRPr="0032351D">
        <w:rPr>
          <w:sz w:val="18"/>
          <w:lang w:val="nl-NL" w:eastAsia="nl-NL"/>
        </w:rPr>
        <w:t>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ICB’s worden eveneens als inschrijvingen beschouwd. Inbrengen daarentegen ingevolge fusie door overneming van een compartiment (compartimenten) of ICB(’s) worden niet behandeld als inschrijvingen (Het bedrag van de inschrijvingen is opgenomen in tabel 10, code 110, kolom 10 waarvan het bedrag opgenomen in tabel 10, code 120, kolom 10 wordt afgetrokken). Negatieve cijfers worden automatisch tot nul teruggebracht.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206C" w14:textId="77777777" w:rsidR="004564CE" w:rsidRDefault="00456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E877" w14:textId="118432F5" w:rsidR="004564CE" w:rsidRDefault="00456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D590" w14:textId="77777777" w:rsidR="004564CE" w:rsidRDefault="0045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932E5"/>
    <w:multiLevelType w:val="hybridMultilevel"/>
    <w:tmpl w:val="B40006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F5C67"/>
    <w:multiLevelType w:val="hybridMultilevel"/>
    <w:tmpl w:val="6B9822D4"/>
    <w:lvl w:ilvl="0" w:tplc="CF14D292">
      <w:numFmt w:val="bullet"/>
      <w:lvlText w:val="-"/>
      <w:lvlJc w:val="left"/>
      <w:pPr>
        <w:ind w:left="1440" w:hanging="360"/>
      </w:pPr>
      <w:rPr>
        <w:rFonts w:ascii="Times New Roman" w:eastAsia="Times New Roman" w:hAnsi="Times New Roman"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2B202A85"/>
    <w:multiLevelType w:val="hybridMultilevel"/>
    <w:tmpl w:val="F8020A40"/>
    <w:lvl w:ilvl="0" w:tplc="8E4CA472">
      <w:start w:val="1"/>
      <w:numFmt w:val="decimal"/>
      <w:lvlText w:val="%1."/>
      <w:lvlJc w:val="left"/>
      <w:pPr>
        <w:ind w:left="720" w:hanging="360"/>
      </w:pPr>
      <w:rPr>
        <w:rFonts w:ascii="Times New Roman" w:eastAsia="Times New Roman" w:hAnsi="Times New Roman" w:cs="Times New Roman"/>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B5C270F"/>
    <w:multiLevelType w:val="hybridMultilevel"/>
    <w:tmpl w:val="33FCA16C"/>
    <w:lvl w:ilvl="0" w:tplc="CF14D292">
      <w:numFmt w:val="bullet"/>
      <w:lvlText w:val="-"/>
      <w:lvlJc w:val="left"/>
      <w:pPr>
        <w:ind w:left="1440" w:hanging="360"/>
      </w:pPr>
      <w:rPr>
        <w:rFonts w:ascii="Times New Roman" w:eastAsia="Times New Roman" w:hAnsi="Times New Roman" w:hint="default"/>
      </w:rPr>
    </w:lvl>
    <w:lvl w:ilvl="1" w:tplc="CF14D292">
      <w:numFmt w:val="bullet"/>
      <w:lvlText w:val="-"/>
      <w:lvlJc w:val="left"/>
      <w:rPr>
        <w:rFonts w:ascii="Times New Roman" w:eastAsia="Times New Roman" w:hAnsi="Times New Roman"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2C6C5449"/>
    <w:multiLevelType w:val="hybridMultilevel"/>
    <w:tmpl w:val="62FA89A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24134B2"/>
    <w:multiLevelType w:val="hybridMultilevel"/>
    <w:tmpl w:val="12A494FA"/>
    <w:lvl w:ilvl="0" w:tplc="0813000F">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EB26B94"/>
    <w:multiLevelType w:val="hybridMultilevel"/>
    <w:tmpl w:val="BA003D86"/>
    <w:lvl w:ilvl="0" w:tplc="FFFFFFFF">
      <w:numFmt w:val="bullet"/>
      <w:lvlText w:val="-"/>
      <w:lvlJc w:val="left"/>
      <w:pPr>
        <w:ind w:left="1440" w:hanging="360"/>
      </w:pPr>
      <w:rPr>
        <w:rFonts w:ascii="Times New Roman" w:eastAsia="Times New Roman" w:hAnsi="Times New Roman" w:hint="default"/>
      </w:rPr>
    </w:lvl>
    <w:lvl w:ilvl="1" w:tplc="CF14D292">
      <w:numFmt w:val="bullet"/>
      <w:lvlText w:val="-"/>
      <w:lvlJc w:val="left"/>
      <w:rPr>
        <w:rFonts w:ascii="Times New Roman" w:eastAsia="Times New Roman" w:hAnsi="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46045610"/>
    <w:multiLevelType w:val="hybridMultilevel"/>
    <w:tmpl w:val="D124C768"/>
    <w:lvl w:ilvl="0" w:tplc="08090001">
      <w:start w:val="1"/>
      <w:numFmt w:val="bullet"/>
      <w:lvlText w:val=""/>
      <w:lvlJc w:val="left"/>
      <w:pPr>
        <w:ind w:left="1140" w:hanging="4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8A4F68"/>
    <w:multiLevelType w:val="hybridMultilevel"/>
    <w:tmpl w:val="03E269F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A0738F3"/>
    <w:multiLevelType w:val="hybridMultilevel"/>
    <w:tmpl w:val="9DD211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BAA6BCC"/>
    <w:multiLevelType w:val="hybridMultilevel"/>
    <w:tmpl w:val="5EC89CE8"/>
    <w:lvl w:ilvl="0" w:tplc="08130005">
      <w:start w:val="1"/>
      <w:numFmt w:val="bullet"/>
      <w:lvlText w:val=""/>
      <w:lvlJc w:val="left"/>
      <w:pPr>
        <w:ind w:left="1140" w:hanging="4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A20B20"/>
    <w:multiLevelType w:val="hybridMultilevel"/>
    <w:tmpl w:val="F4C251A0"/>
    <w:lvl w:ilvl="0" w:tplc="08130005">
      <w:start w:val="1"/>
      <w:numFmt w:val="bullet"/>
      <w:lvlText w:val=""/>
      <w:lvlJc w:val="left"/>
      <w:pPr>
        <w:ind w:left="1140" w:hanging="4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22201A"/>
    <w:multiLevelType w:val="hybridMultilevel"/>
    <w:tmpl w:val="878A51C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52D030A"/>
    <w:multiLevelType w:val="hybridMultilevel"/>
    <w:tmpl w:val="8BB041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B5D63FA"/>
    <w:multiLevelType w:val="hybridMultilevel"/>
    <w:tmpl w:val="2DAA41FA"/>
    <w:lvl w:ilvl="0" w:tplc="08090001">
      <w:start w:val="1"/>
      <w:numFmt w:val="bullet"/>
      <w:lvlText w:val=""/>
      <w:lvlJc w:val="left"/>
      <w:pPr>
        <w:ind w:left="360" w:hanging="360"/>
      </w:pPr>
      <w:rPr>
        <w:rFonts w:ascii="Symbol" w:hAnsi="Symbol" w:hint="default"/>
      </w:rPr>
    </w:lvl>
    <w:lvl w:ilvl="1" w:tplc="636482A8">
      <w:numFmt w:val="bullet"/>
      <w:lvlText w:val="•"/>
      <w:lvlJc w:val="left"/>
      <w:pPr>
        <w:ind w:left="1416" w:hanging="696"/>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9469359">
    <w:abstractNumId w:val="1"/>
  </w:num>
  <w:num w:numId="2" w16cid:durableId="507982132">
    <w:abstractNumId w:val="13"/>
  </w:num>
  <w:num w:numId="3" w16cid:durableId="757753745">
    <w:abstractNumId w:val="10"/>
  </w:num>
  <w:num w:numId="4" w16cid:durableId="596789237">
    <w:abstractNumId w:val="8"/>
  </w:num>
  <w:num w:numId="5" w16cid:durableId="1032920773">
    <w:abstractNumId w:val="3"/>
  </w:num>
  <w:num w:numId="6" w16cid:durableId="1806701850">
    <w:abstractNumId w:val="12"/>
  </w:num>
  <w:num w:numId="7" w16cid:durableId="1184124409">
    <w:abstractNumId w:val="14"/>
  </w:num>
  <w:num w:numId="8" w16cid:durableId="1488202306">
    <w:abstractNumId w:val="11"/>
  </w:num>
  <w:num w:numId="9" w16cid:durableId="589588209">
    <w:abstractNumId w:val="0"/>
  </w:num>
  <w:num w:numId="10" w16cid:durableId="296188396">
    <w:abstractNumId w:val="6"/>
  </w:num>
  <w:num w:numId="11" w16cid:durableId="1813404441">
    <w:abstractNumId w:val="5"/>
  </w:num>
  <w:num w:numId="12" w16cid:durableId="1356224011">
    <w:abstractNumId w:val="9"/>
  </w:num>
  <w:num w:numId="13" w16cid:durableId="612906208">
    <w:abstractNumId w:val="16"/>
  </w:num>
  <w:num w:numId="14" w16cid:durableId="281422146">
    <w:abstractNumId w:val="17"/>
  </w:num>
  <w:num w:numId="15" w16cid:durableId="744642214">
    <w:abstractNumId w:val="15"/>
  </w:num>
  <w:num w:numId="16" w16cid:durableId="619149020">
    <w:abstractNumId w:val="18"/>
  </w:num>
  <w:num w:numId="17" w16cid:durableId="754981283">
    <w:abstractNumId w:val="4"/>
  </w:num>
  <w:num w:numId="18" w16cid:durableId="1255674600">
    <w:abstractNumId w:val="2"/>
  </w:num>
  <w:num w:numId="19" w16cid:durableId="2045279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57"/>
    <w:rsid w:val="00000E35"/>
    <w:rsid w:val="0001355A"/>
    <w:rsid w:val="00015ED7"/>
    <w:rsid w:val="00025CE3"/>
    <w:rsid w:val="0002794B"/>
    <w:rsid w:val="00036B86"/>
    <w:rsid w:val="000411C3"/>
    <w:rsid w:val="00057303"/>
    <w:rsid w:val="00060816"/>
    <w:rsid w:val="000630EC"/>
    <w:rsid w:val="000642B5"/>
    <w:rsid w:val="00070A1E"/>
    <w:rsid w:val="00072011"/>
    <w:rsid w:val="000760E1"/>
    <w:rsid w:val="00082474"/>
    <w:rsid w:val="000B0EEB"/>
    <w:rsid w:val="000D06ED"/>
    <w:rsid w:val="000D12A8"/>
    <w:rsid w:val="000F746B"/>
    <w:rsid w:val="000F7A78"/>
    <w:rsid w:val="00102F2B"/>
    <w:rsid w:val="001071F8"/>
    <w:rsid w:val="001107EC"/>
    <w:rsid w:val="001134BE"/>
    <w:rsid w:val="001251BC"/>
    <w:rsid w:val="00127ABF"/>
    <w:rsid w:val="00127EEE"/>
    <w:rsid w:val="00133CE3"/>
    <w:rsid w:val="00136B2C"/>
    <w:rsid w:val="00136B78"/>
    <w:rsid w:val="001419D7"/>
    <w:rsid w:val="001611D0"/>
    <w:rsid w:val="00165E22"/>
    <w:rsid w:val="001704AD"/>
    <w:rsid w:val="00175269"/>
    <w:rsid w:val="001825F2"/>
    <w:rsid w:val="001A1466"/>
    <w:rsid w:val="001A28A8"/>
    <w:rsid w:val="001B045E"/>
    <w:rsid w:val="001C7FB4"/>
    <w:rsid w:val="001E23D0"/>
    <w:rsid w:val="001F5648"/>
    <w:rsid w:val="0020064C"/>
    <w:rsid w:val="0020627B"/>
    <w:rsid w:val="00212F2B"/>
    <w:rsid w:val="002138AF"/>
    <w:rsid w:val="00215DE5"/>
    <w:rsid w:val="002240EF"/>
    <w:rsid w:val="002423D7"/>
    <w:rsid w:val="00253BFB"/>
    <w:rsid w:val="00263460"/>
    <w:rsid w:val="00272B6D"/>
    <w:rsid w:val="002748C3"/>
    <w:rsid w:val="002777DC"/>
    <w:rsid w:val="0029153F"/>
    <w:rsid w:val="00292B7B"/>
    <w:rsid w:val="002B2F79"/>
    <w:rsid w:val="002C433E"/>
    <w:rsid w:val="002D0341"/>
    <w:rsid w:val="002E0DB1"/>
    <w:rsid w:val="002F3C2C"/>
    <w:rsid w:val="002F48B9"/>
    <w:rsid w:val="00303C3C"/>
    <w:rsid w:val="00305F15"/>
    <w:rsid w:val="00310403"/>
    <w:rsid w:val="0031288E"/>
    <w:rsid w:val="00324A10"/>
    <w:rsid w:val="00327FC1"/>
    <w:rsid w:val="00332144"/>
    <w:rsid w:val="0034265F"/>
    <w:rsid w:val="00342D25"/>
    <w:rsid w:val="00361DC6"/>
    <w:rsid w:val="0038274E"/>
    <w:rsid w:val="0038681E"/>
    <w:rsid w:val="003877C8"/>
    <w:rsid w:val="00392F2E"/>
    <w:rsid w:val="00394548"/>
    <w:rsid w:val="003A1C8F"/>
    <w:rsid w:val="003B204B"/>
    <w:rsid w:val="003B66B8"/>
    <w:rsid w:val="003C1C0A"/>
    <w:rsid w:val="003C5669"/>
    <w:rsid w:val="003E6EA4"/>
    <w:rsid w:val="003E78D0"/>
    <w:rsid w:val="004039EB"/>
    <w:rsid w:val="00405098"/>
    <w:rsid w:val="00405DB8"/>
    <w:rsid w:val="00425EA5"/>
    <w:rsid w:val="00426E9B"/>
    <w:rsid w:val="00432554"/>
    <w:rsid w:val="00434572"/>
    <w:rsid w:val="00435493"/>
    <w:rsid w:val="004564CE"/>
    <w:rsid w:val="004730F9"/>
    <w:rsid w:val="004A28DF"/>
    <w:rsid w:val="004A71C0"/>
    <w:rsid w:val="004B7138"/>
    <w:rsid w:val="004C1405"/>
    <w:rsid w:val="004C4F5D"/>
    <w:rsid w:val="004D656C"/>
    <w:rsid w:val="004F75A8"/>
    <w:rsid w:val="00513E0F"/>
    <w:rsid w:val="00531AD8"/>
    <w:rsid w:val="00533E6B"/>
    <w:rsid w:val="00533F14"/>
    <w:rsid w:val="005406D5"/>
    <w:rsid w:val="00542B60"/>
    <w:rsid w:val="00551F21"/>
    <w:rsid w:val="00557103"/>
    <w:rsid w:val="00557449"/>
    <w:rsid w:val="00571918"/>
    <w:rsid w:val="00572C0E"/>
    <w:rsid w:val="00583FDE"/>
    <w:rsid w:val="005B0893"/>
    <w:rsid w:val="005B7C04"/>
    <w:rsid w:val="005C4FF4"/>
    <w:rsid w:val="005D0492"/>
    <w:rsid w:val="005D4715"/>
    <w:rsid w:val="005E30F3"/>
    <w:rsid w:val="006013D4"/>
    <w:rsid w:val="006031E8"/>
    <w:rsid w:val="00631C4A"/>
    <w:rsid w:val="0064683F"/>
    <w:rsid w:val="00655BF1"/>
    <w:rsid w:val="00655D7D"/>
    <w:rsid w:val="00656060"/>
    <w:rsid w:val="0066685B"/>
    <w:rsid w:val="00666FDE"/>
    <w:rsid w:val="00670431"/>
    <w:rsid w:val="0067461D"/>
    <w:rsid w:val="00675217"/>
    <w:rsid w:val="006808B1"/>
    <w:rsid w:val="0069018F"/>
    <w:rsid w:val="006965BE"/>
    <w:rsid w:val="00697BE9"/>
    <w:rsid w:val="006A0E44"/>
    <w:rsid w:val="006A5F91"/>
    <w:rsid w:val="006B3056"/>
    <w:rsid w:val="006B3E78"/>
    <w:rsid w:val="006B5E3A"/>
    <w:rsid w:val="006C244E"/>
    <w:rsid w:val="006D2000"/>
    <w:rsid w:val="006D7C0B"/>
    <w:rsid w:val="006E7B36"/>
    <w:rsid w:val="00715CE2"/>
    <w:rsid w:val="00724182"/>
    <w:rsid w:val="00753F96"/>
    <w:rsid w:val="007637FA"/>
    <w:rsid w:val="007647AA"/>
    <w:rsid w:val="00780E19"/>
    <w:rsid w:val="00797EA7"/>
    <w:rsid w:val="007B604A"/>
    <w:rsid w:val="007C033F"/>
    <w:rsid w:val="007C7045"/>
    <w:rsid w:val="007D026E"/>
    <w:rsid w:val="007D0C02"/>
    <w:rsid w:val="007F0080"/>
    <w:rsid w:val="007F63DB"/>
    <w:rsid w:val="008023DA"/>
    <w:rsid w:val="00811013"/>
    <w:rsid w:val="008111ED"/>
    <w:rsid w:val="00820BB1"/>
    <w:rsid w:val="008247C3"/>
    <w:rsid w:val="00835D1A"/>
    <w:rsid w:val="00855668"/>
    <w:rsid w:val="00863ED2"/>
    <w:rsid w:val="00864D90"/>
    <w:rsid w:val="00893B80"/>
    <w:rsid w:val="008A1809"/>
    <w:rsid w:val="008C3F21"/>
    <w:rsid w:val="008E6E94"/>
    <w:rsid w:val="008F2FB6"/>
    <w:rsid w:val="008F4537"/>
    <w:rsid w:val="00907D22"/>
    <w:rsid w:val="00913F7D"/>
    <w:rsid w:val="00923A04"/>
    <w:rsid w:val="00931EE9"/>
    <w:rsid w:val="00951554"/>
    <w:rsid w:val="0095403E"/>
    <w:rsid w:val="00954643"/>
    <w:rsid w:val="00965AED"/>
    <w:rsid w:val="00967884"/>
    <w:rsid w:val="00972A31"/>
    <w:rsid w:val="0097572B"/>
    <w:rsid w:val="00982361"/>
    <w:rsid w:val="009B42E7"/>
    <w:rsid w:val="009B7FBD"/>
    <w:rsid w:val="009D6F4E"/>
    <w:rsid w:val="009E7D60"/>
    <w:rsid w:val="009F2B4C"/>
    <w:rsid w:val="00A206DA"/>
    <w:rsid w:val="00A2770E"/>
    <w:rsid w:val="00A27F28"/>
    <w:rsid w:val="00A33FCD"/>
    <w:rsid w:val="00A4201C"/>
    <w:rsid w:val="00A42F46"/>
    <w:rsid w:val="00A51200"/>
    <w:rsid w:val="00A56E5E"/>
    <w:rsid w:val="00A77F0D"/>
    <w:rsid w:val="00A847DB"/>
    <w:rsid w:val="00A97F08"/>
    <w:rsid w:val="00AD15BA"/>
    <w:rsid w:val="00AE0AA1"/>
    <w:rsid w:val="00AE39D6"/>
    <w:rsid w:val="00AF0530"/>
    <w:rsid w:val="00AF5935"/>
    <w:rsid w:val="00B04B23"/>
    <w:rsid w:val="00B25B4C"/>
    <w:rsid w:val="00B30878"/>
    <w:rsid w:val="00B32FCF"/>
    <w:rsid w:val="00B3312A"/>
    <w:rsid w:val="00B5112E"/>
    <w:rsid w:val="00B605E2"/>
    <w:rsid w:val="00B7088B"/>
    <w:rsid w:val="00B73856"/>
    <w:rsid w:val="00B766E2"/>
    <w:rsid w:val="00B81A7D"/>
    <w:rsid w:val="00B85445"/>
    <w:rsid w:val="00BB20F1"/>
    <w:rsid w:val="00BC4B7A"/>
    <w:rsid w:val="00BC5204"/>
    <w:rsid w:val="00BD1DD4"/>
    <w:rsid w:val="00BD283C"/>
    <w:rsid w:val="00BD2CD1"/>
    <w:rsid w:val="00BD30CA"/>
    <w:rsid w:val="00BD3771"/>
    <w:rsid w:val="00BD5B08"/>
    <w:rsid w:val="00BE4C8F"/>
    <w:rsid w:val="00BE5FBF"/>
    <w:rsid w:val="00BF0ACD"/>
    <w:rsid w:val="00BF1D06"/>
    <w:rsid w:val="00BF2039"/>
    <w:rsid w:val="00C01E0A"/>
    <w:rsid w:val="00C01EDD"/>
    <w:rsid w:val="00C12900"/>
    <w:rsid w:val="00C30CD3"/>
    <w:rsid w:val="00C37629"/>
    <w:rsid w:val="00C44706"/>
    <w:rsid w:val="00C644A3"/>
    <w:rsid w:val="00C66E92"/>
    <w:rsid w:val="00C81E5D"/>
    <w:rsid w:val="00C95106"/>
    <w:rsid w:val="00CB100E"/>
    <w:rsid w:val="00CB7147"/>
    <w:rsid w:val="00CE7B65"/>
    <w:rsid w:val="00CF351C"/>
    <w:rsid w:val="00D03F30"/>
    <w:rsid w:val="00D067BB"/>
    <w:rsid w:val="00D06EE4"/>
    <w:rsid w:val="00D07FC7"/>
    <w:rsid w:val="00D125EB"/>
    <w:rsid w:val="00D14FBB"/>
    <w:rsid w:val="00D15C8F"/>
    <w:rsid w:val="00D32100"/>
    <w:rsid w:val="00D3524B"/>
    <w:rsid w:val="00D377D2"/>
    <w:rsid w:val="00D57B82"/>
    <w:rsid w:val="00D655BC"/>
    <w:rsid w:val="00D66A40"/>
    <w:rsid w:val="00D73A4E"/>
    <w:rsid w:val="00D801DD"/>
    <w:rsid w:val="00D83CF8"/>
    <w:rsid w:val="00D94E13"/>
    <w:rsid w:val="00DA5B26"/>
    <w:rsid w:val="00DB599E"/>
    <w:rsid w:val="00DC5DC0"/>
    <w:rsid w:val="00DE0A24"/>
    <w:rsid w:val="00DE2EEA"/>
    <w:rsid w:val="00E148CE"/>
    <w:rsid w:val="00E15CDE"/>
    <w:rsid w:val="00E212DC"/>
    <w:rsid w:val="00E2322D"/>
    <w:rsid w:val="00E335AF"/>
    <w:rsid w:val="00E35D17"/>
    <w:rsid w:val="00E370F3"/>
    <w:rsid w:val="00E4181F"/>
    <w:rsid w:val="00E4344D"/>
    <w:rsid w:val="00E46ECD"/>
    <w:rsid w:val="00E52D11"/>
    <w:rsid w:val="00E62692"/>
    <w:rsid w:val="00E7080D"/>
    <w:rsid w:val="00E75091"/>
    <w:rsid w:val="00E767A1"/>
    <w:rsid w:val="00E80257"/>
    <w:rsid w:val="00E83FE4"/>
    <w:rsid w:val="00E96A73"/>
    <w:rsid w:val="00E97943"/>
    <w:rsid w:val="00EA528E"/>
    <w:rsid w:val="00EC423C"/>
    <w:rsid w:val="00EF35F8"/>
    <w:rsid w:val="00F11067"/>
    <w:rsid w:val="00F15759"/>
    <w:rsid w:val="00F4462D"/>
    <w:rsid w:val="00F548AC"/>
    <w:rsid w:val="00F555A4"/>
    <w:rsid w:val="00F57D9C"/>
    <w:rsid w:val="00F66004"/>
    <w:rsid w:val="00F82A2D"/>
    <w:rsid w:val="00F8542E"/>
    <w:rsid w:val="00F9406E"/>
    <w:rsid w:val="00F94EAE"/>
    <w:rsid w:val="00FA3BF6"/>
    <w:rsid w:val="00FA4CE9"/>
    <w:rsid w:val="00FA6975"/>
    <w:rsid w:val="00FB6D45"/>
    <w:rsid w:val="00FD0E79"/>
    <w:rsid w:val="00FD6325"/>
    <w:rsid w:val="00FD77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C496A"/>
  <w15:chartTrackingRefBased/>
  <w15:docId w15:val="{9EBD58BC-07B1-446C-A453-0C20BF8D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257"/>
    <w:pPr>
      <w:spacing w:after="0" w:line="260" w:lineRule="atLeast"/>
    </w:pPr>
    <w:rPr>
      <w:rFonts w:ascii="Times New Roman" w:eastAsia="Times New Roman" w:hAnsi="Times New Roman" w:cs="Times New Roman"/>
      <w:szCs w:val="20"/>
      <w:lang w:val="en-US"/>
    </w:rPr>
  </w:style>
  <w:style w:type="paragraph" w:styleId="Heading1">
    <w:name w:val="heading 1"/>
    <w:basedOn w:val="Heading2"/>
    <w:next w:val="BodyText"/>
    <w:link w:val="Heading1Char"/>
    <w:uiPriority w:val="99"/>
    <w:qFormat/>
    <w:rsid w:val="00E80257"/>
    <w:pPr>
      <w:numPr>
        <w:ilvl w:val="0"/>
      </w:numPr>
      <w:spacing w:line="360" w:lineRule="exact"/>
      <w:outlineLvl w:val="0"/>
    </w:pPr>
  </w:style>
  <w:style w:type="paragraph" w:styleId="Heading2">
    <w:name w:val="heading 2"/>
    <w:basedOn w:val="BodyText"/>
    <w:next w:val="BodyText"/>
    <w:link w:val="Heading2Char"/>
    <w:uiPriority w:val="99"/>
    <w:qFormat/>
    <w:rsid w:val="00E80257"/>
    <w:pPr>
      <w:keepNext/>
      <w:numPr>
        <w:ilvl w:val="1"/>
        <w:numId w:val="3"/>
      </w:numPr>
      <w:spacing w:before="130" w:after="130" w:line="320" w:lineRule="exact"/>
      <w:outlineLvl w:val="1"/>
    </w:pPr>
    <w:rPr>
      <w:rFonts w:ascii="Arial" w:hAnsi="Arial"/>
      <w:b/>
      <w:lang w:val="nl-BE"/>
    </w:rPr>
  </w:style>
  <w:style w:type="paragraph" w:styleId="Heading3">
    <w:name w:val="heading 3"/>
    <w:basedOn w:val="Heading4"/>
    <w:next w:val="BodyText"/>
    <w:link w:val="Heading3Char"/>
    <w:uiPriority w:val="99"/>
    <w:qFormat/>
    <w:rsid w:val="00E80257"/>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E80257"/>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E80257"/>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E80257"/>
    <w:pPr>
      <w:numPr>
        <w:ilvl w:val="5"/>
        <w:numId w:val="3"/>
      </w:numPr>
      <w:spacing w:line="240" w:lineRule="auto"/>
      <w:outlineLvl w:val="5"/>
    </w:pPr>
    <w:rPr>
      <w:lang w:val="nl-BE"/>
    </w:rPr>
  </w:style>
  <w:style w:type="paragraph" w:styleId="Heading7">
    <w:name w:val="heading 7"/>
    <w:basedOn w:val="Normal"/>
    <w:next w:val="Normal"/>
    <w:link w:val="Heading7Char"/>
    <w:uiPriority w:val="99"/>
    <w:qFormat/>
    <w:rsid w:val="00E80257"/>
    <w:pPr>
      <w:numPr>
        <w:ilvl w:val="6"/>
        <w:numId w:val="3"/>
      </w:numPr>
      <w:spacing w:line="240" w:lineRule="auto"/>
      <w:outlineLvl w:val="6"/>
    </w:pPr>
    <w:rPr>
      <w:lang w:val="nl-BE"/>
    </w:rPr>
  </w:style>
  <w:style w:type="paragraph" w:styleId="Heading8">
    <w:name w:val="heading 8"/>
    <w:basedOn w:val="Normal"/>
    <w:next w:val="Normal"/>
    <w:link w:val="Heading8Char"/>
    <w:uiPriority w:val="99"/>
    <w:qFormat/>
    <w:rsid w:val="00E80257"/>
    <w:pPr>
      <w:numPr>
        <w:ilvl w:val="7"/>
        <w:numId w:val="3"/>
      </w:numPr>
      <w:spacing w:line="240" w:lineRule="auto"/>
      <w:outlineLvl w:val="7"/>
    </w:pPr>
    <w:rPr>
      <w:lang w:val="nl-BE"/>
    </w:rPr>
  </w:style>
  <w:style w:type="paragraph" w:styleId="Heading9">
    <w:name w:val="heading 9"/>
    <w:basedOn w:val="Normal"/>
    <w:next w:val="Normal"/>
    <w:link w:val="Heading9Char"/>
    <w:uiPriority w:val="99"/>
    <w:qFormat/>
    <w:rsid w:val="00E80257"/>
    <w:pPr>
      <w:numPr>
        <w:ilvl w:val="8"/>
        <w:numId w:val="3"/>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80257"/>
    <w:rPr>
      <w:rFonts w:ascii="Arial" w:eastAsia="Times New Roman" w:hAnsi="Arial" w:cs="Times New Roman"/>
      <w:b/>
      <w:szCs w:val="20"/>
    </w:rPr>
  </w:style>
  <w:style w:type="character" w:customStyle="1" w:styleId="Heading2Char">
    <w:name w:val="Heading 2 Char"/>
    <w:basedOn w:val="DefaultParagraphFont"/>
    <w:link w:val="Heading2"/>
    <w:uiPriority w:val="99"/>
    <w:rsid w:val="00E80257"/>
    <w:rPr>
      <w:rFonts w:ascii="Arial" w:eastAsia="Times New Roman" w:hAnsi="Arial" w:cs="Times New Roman"/>
      <w:b/>
      <w:szCs w:val="20"/>
    </w:rPr>
  </w:style>
  <w:style w:type="character" w:customStyle="1" w:styleId="Heading3Char">
    <w:name w:val="Heading 3 Char"/>
    <w:basedOn w:val="DefaultParagraphFont"/>
    <w:link w:val="Heading3"/>
    <w:uiPriority w:val="99"/>
    <w:rsid w:val="00E80257"/>
    <w:rPr>
      <w:rFonts w:ascii="Arial" w:eastAsia="Times New Roman" w:hAnsi="Arial" w:cs="Times New Roman"/>
      <w:b/>
      <w:szCs w:val="20"/>
    </w:rPr>
  </w:style>
  <w:style w:type="character" w:customStyle="1" w:styleId="Heading4Char">
    <w:name w:val="Heading 4 Char"/>
    <w:basedOn w:val="DefaultParagraphFont"/>
    <w:link w:val="Heading4"/>
    <w:uiPriority w:val="99"/>
    <w:rsid w:val="00E80257"/>
    <w:rPr>
      <w:rFonts w:ascii="Arial" w:eastAsia="Times New Roman" w:hAnsi="Arial" w:cs="Times New Roman"/>
      <w:b/>
      <w:i/>
      <w:sz w:val="24"/>
      <w:szCs w:val="20"/>
    </w:rPr>
  </w:style>
  <w:style w:type="character" w:customStyle="1" w:styleId="Heading5Char">
    <w:name w:val="Heading 5 Char"/>
    <w:basedOn w:val="DefaultParagraphFont"/>
    <w:link w:val="Heading5"/>
    <w:uiPriority w:val="99"/>
    <w:rsid w:val="00E80257"/>
    <w:rPr>
      <w:rFonts w:ascii="Arial" w:eastAsia="Times New Roman" w:hAnsi="Arial" w:cs="Times New Roman"/>
      <w:i/>
      <w:szCs w:val="20"/>
    </w:rPr>
  </w:style>
  <w:style w:type="character" w:customStyle="1" w:styleId="Heading6Char">
    <w:name w:val="Heading 6 Char"/>
    <w:basedOn w:val="DefaultParagraphFont"/>
    <w:link w:val="Heading6"/>
    <w:uiPriority w:val="99"/>
    <w:rsid w:val="00E80257"/>
    <w:rPr>
      <w:rFonts w:ascii="Times New Roman" w:eastAsia="Times New Roman" w:hAnsi="Times New Roman" w:cs="Times New Roman"/>
      <w:szCs w:val="20"/>
    </w:rPr>
  </w:style>
  <w:style w:type="character" w:customStyle="1" w:styleId="Heading7Char">
    <w:name w:val="Heading 7 Char"/>
    <w:basedOn w:val="DefaultParagraphFont"/>
    <w:link w:val="Heading7"/>
    <w:uiPriority w:val="99"/>
    <w:rsid w:val="00E80257"/>
    <w:rPr>
      <w:rFonts w:ascii="Times New Roman" w:eastAsia="Times New Roman" w:hAnsi="Times New Roman" w:cs="Times New Roman"/>
      <w:szCs w:val="20"/>
    </w:rPr>
  </w:style>
  <w:style w:type="character" w:customStyle="1" w:styleId="Heading8Char">
    <w:name w:val="Heading 8 Char"/>
    <w:basedOn w:val="DefaultParagraphFont"/>
    <w:link w:val="Heading8"/>
    <w:uiPriority w:val="99"/>
    <w:rsid w:val="00E80257"/>
    <w:rPr>
      <w:rFonts w:ascii="Times New Roman" w:eastAsia="Times New Roman" w:hAnsi="Times New Roman" w:cs="Times New Roman"/>
      <w:szCs w:val="20"/>
    </w:rPr>
  </w:style>
  <w:style w:type="character" w:customStyle="1" w:styleId="Heading9Char">
    <w:name w:val="Heading 9 Char"/>
    <w:basedOn w:val="DefaultParagraphFont"/>
    <w:link w:val="Heading9"/>
    <w:uiPriority w:val="99"/>
    <w:rsid w:val="00E80257"/>
    <w:rPr>
      <w:rFonts w:ascii="Times New Roman" w:eastAsia="Times New Roman" w:hAnsi="Times New Roman" w:cs="Times New Roman"/>
      <w:szCs w:val="20"/>
    </w:rPr>
  </w:style>
  <w:style w:type="paragraph" w:styleId="FootnoteText">
    <w:name w:val="footnote text"/>
    <w:basedOn w:val="Normal"/>
    <w:link w:val="FootnoteTextChar"/>
    <w:semiHidden/>
    <w:rsid w:val="00E80257"/>
    <w:rPr>
      <w:sz w:val="18"/>
    </w:rPr>
  </w:style>
  <w:style w:type="character" w:customStyle="1" w:styleId="FootnoteTextChar">
    <w:name w:val="Footnote Text Char"/>
    <w:basedOn w:val="DefaultParagraphFont"/>
    <w:link w:val="FootnoteText"/>
    <w:uiPriority w:val="99"/>
    <w:semiHidden/>
    <w:rsid w:val="00E80257"/>
    <w:rPr>
      <w:rFonts w:ascii="Times New Roman" w:eastAsia="Times New Roman" w:hAnsi="Times New Roman" w:cs="Times New Roman"/>
      <w:sz w:val="18"/>
      <w:szCs w:val="20"/>
      <w:lang w:val="en-US"/>
    </w:rPr>
  </w:style>
  <w:style w:type="character" w:styleId="FootnoteReference">
    <w:name w:val="footnote reference"/>
    <w:basedOn w:val="DefaultParagraphFont"/>
    <w:semiHidden/>
    <w:rsid w:val="00E80257"/>
    <w:rPr>
      <w:rFonts w:cs="Times New Roman"/>
      <w:vertAlign w:val="superscript"/>
    </w:rPr>
  </w:style>
  <w:style w:type="paragraph" w:styleId="BodyText">
    <w:name w:val="Body Text"/>
    <w:basedOn w:val="Normal"/>
    <w:link w:val="BodyTextChar"/>
    <w:uiPriority w:val="99"/>
    <w:semiHidden/>
    <w:unhideWhenUsed/>
    <w:rsid w:val="00E80257"/>
    <w:pPr>
      <w:spacing w:after="120"/>
    </w:pPr>
  </w:style>
  <w:style w:type="character" w:customStyle="1" w:styleId="BodyTextChar">
    <w:name w:val="Body Text Char"/>
    <w:basedOn w:val="DefaultParagraphFont"/>
    <w:link w:val="BodyText"/>
    <w:uiPriority w:val="99"/>
    <w:semiHidden/>
    <w:rsid w:val="00E80257"/>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E802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257"/>
    <w:rPr>
      <w:rFonts w:ascii="Segoe UI" w:eastAsia="Times New Roman" w:hAnsi="Segoe UI" w:cs="Segoe UI"/>
      <w:sz w:val="18"/>
      <w:szCs w:val="18"/>
      <w:lang w:val="en-US"/>
    </w:rPr>
  </w:style>
  <w:style w:type="paragraph" w:styleId="ListParagraph">
    <w:name w:val="List Paragraph"/>
    <w:basedOn w:val="Normal"/>
    <w:link w:val="ListParagraphChar"/>
    <w:uiPriority w:val="34"/>
    <w:qFormat/>
    <w:rsid w:val="00697BE9"/>
    <w:pPr>
      <w:ind w:left="708"/>
    </w:pPr>
  </w:style>
  <w:style w:type="character" w:customStyle="1" w:styleId="ListParagraphChar">
    <w:name w:val="List Paragraph Char"/>
    <w:link w:val="ListParagraph"/>
    <w:uiPriority w:val="34"/>
    <w:rsid w:val="00697BE9"/>
    <w:rPr>
      <w:rFonts w:ascii="Times New Roman" w:eastAsia="Times New Roman" w:hAnsi="Times New Roman" w:cs="Times New Roman"/>
      <w:szCs w:val="20"/>
      <w:lang w:val="en-US"/>
    </w:rPr>
  </w:style>
  <w:style w:type="paragraph" w:styleId="Header">
    <w:name w:val="header"/>
    <w:basedOn w:val="Normal"/>
    <w:link w:val="HeaderChar"/>
    <w:uiPriority w:val="99"/>
    <w:unhideWhenUsed/>
    <w:rsid w:val="004564CE"/>
    <w:pPr>
      <w:tabs>
        <w:tab w:val="center" w:pos="4536"/>
        <w:tab w:val="right" w:pos="9072"/>
      </w:tabs>
      <w:spacing w:line="240" w:lineRule="auto"/>
    </w:pPr>
  </w:style>
  <w:style w:type="character" w:customStyle="1" w:styleId="HeaderChar">
    <w:name w:val="Header Char"/>
    <w:basedOn w:val="DefaultParagraphFont"/>
    <w:link w:val="Header"/>
    <w:uiPriority w:val="99"/>
    <w:rsid w:val="004564CE"/>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4564CE"/>
    <w:pPr>
      <w:tabs>
        <w:tab w:val="center" w:pos="4536"/>
        <w:tab w:val="right" w:pos="9072"/>
      </w:tabs>
      <w:spacing w:line="240" w:lineRule="auto"/>
    </w:pPr>
  </w:style>
  <w:style w:type="character" w:customStyle="1" w:styleId="FooterChar">
    <w:name w:val="Footer Char"/>
    <w:basedOn w:val="DefaultParagraphFont"/>
    <w:link w:val="Footer"/>
    <w:uiPriority w:val="99"/>
    <w:rsid w:val="004564CE"/>
    <w:rPr>
      <w:rFonts w:ascii="Times New Roman" w:eastAsia="Times New Roman" w:hAnsi="Times New Roman" w:cs="Times New Roman"/>
      <w:szCs w:val="20"/>
      <w:lang w:val="en-US"/>
    </w:rPr>
  </w:style>
  <w:style w:type="character" w:styleId="CommentReference">
    <w:name w:val="annotation reference"/>
    <w:basedOn w:val="DefaultParagraphFont"/>
    <w:uiPriority w:val="99"/>
    <w:semiHidden/>
    <w:unhideWhenUsed/>
    <w:rsid w:val="00405DB8"/>
    <w:rPr>
      <w:sz w:val="16"/>
      <w:szCs w:val="16"/>
    </w:rPr>
  </w:style>
  <w:style w:type="paragraph" w:styleId="CommentText">
    <w:name w:val="annotation text"/>
    <w:basedOn w:val="Normal"/>
    <w:link w:val="CommentTextChar"/>
    <w:uiPriority w:val="99"/>
    <w:semiHidden/>
    <w:unhideWhenUsed/>
    <w:rsid w:val="00405DB8"/>
    <w:pPr>
      <w:spacing w:line="240" w:lineRule="auto"/>
    </w:pPr>
    <w:rPr>
      <w:sz w:val="20"/>
    </w:rPr>
  </w:style>
  <w:style w:type="character" w:customStyle="1" w:styleId="CommentTextChar">
    <w:name w:val="Comment Text Char"/>
    <w:basedOn w:val="DefaultParagraphFont"/>
    <w:link w:val="CommentText"/>
    <w:uiPriority w:val="99"/>
    <w:semiHidden/>
    <w:rsid w:val="00405DB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05DB8"/>
    <w:rPr>
      <w:b/>
      <w:bCs/>
    </w:rPr>
  </w:style>
  <w:style w:type="character" w:customStyle="1" w:styleId="CommentSubjectChar">
    <w:name w:val="Comment Subject Char"/>
    <w:basedOn w:val="CommentTextChar"/>
    <w:link w:val="CommentSubject"/>
    <w:uiPriority w:val="99"/>
    <w:semiHidden/>
    <w:rsid w:val="00405DB8"/>
    <w:rPr>
      <w:rFonts w:ascii="Times New Roman" w:eastAsia="Times New Roman" w:hAnsi="Times New Roman" w:cs="Times New Roman"/>
      <w:b/>
      <w:bCs/>
      <w:sz w:val="20"/>
      <w:szCs w:val="20"/>
      <w:lang w:val="en-US"/>
    </w:rPr>
  </w:style>
  <w:style w:type="paragraph" w:styleId="Revision">
    <w:name w:val="Revision"/>
    <w:hidden/>
    <w:uiPriority w:val="99"/>
    <w:semiHidden/>
    <w:rsid w:val="00082474"/>
    <w:pPr>
      <w:spacing w:after="0" w:line="240" w:lineRule="auto"/>
    </w:pPr>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nb xmlns="86d8d313-957f-44b4-bb66-f96f0d40e9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eate a new document." ma:contentTypeScope="" ma:versionID="bd9e09de803e8561fea495414343f6c0">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e3ddfb716f0a08eca55f4fdb8fa32a08"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7F32A-75EF-4C05-B8D4-AC2CA0325DC6}">
  <ds:schemaRefs>
    <ds:schemaRef ds:uri="http://schemas.microsoft.com/office/2006/metadata/properties"/>
    <ds:schemaRef ds:uri="http://schemas.microsoft.com/office/infopath/2007/PartnerControls"/>
    <ds:schemaRef ds:uri="86d8d313-957f-44b4-bb66-f96f0d40e904"/>
  </ds:schemaRefs>
</ds:datastoreItem>
</file>

<file path=customXml/itemProps2.xml><?xml version="1.0" encoding="utf-8"?>
<ds:datastoreItem xmlns:ds="http://schemas.openxmlformats.org/officeDocument/2006/customXml" ds:itemID="{1D7F2D21-9F69-4F71-8DE6-9F0702A60C48}">
  <ds:schemaRefs>
    <ds:schemaRef ds:uri="http://schemas.openxmlformats.org/officeDocument/2006/bibliography"/>
  </ds:schemaRefs>
</ds:datastoreItem>
</file>

<file path=customXml/itemProps3.xml><?xml version="1.0" encoding="utf-8"?>
<ds:datastoreItem xmlns:ds="http://schemas.openxmlformats.org/officeDocument/2006/customXml" ds:itemID="{00603B62-71AA-43E2-88BA-EDEA66C0B117}">
  <ds:schemaRefs>
    <ds:schemaRef ds:uri="http://schemas.microsoft.com/sharepoint/v3/contenttype/forms"/>
  </ds:schemaRefs>
</ds:datastoreItem>
</file>

<file path=customXml/itemProps4.xml><?xml version="1.0" encoding="utf-8"?>
<ds:datastoreItem xmlns:ds="http://schemas.openxmlformats.org/officeDocument/2006/customXml" ds:itemID="{2626571F-C5A0-4E56-8CBC-731E927EF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2761</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Louckx, Claude</dc:creator>
  <cp:keywords/>
  <dc:description/>
  <cp:lastModifiedBy>Veerle Sablon</cp:lastModifiedBy>
  <cp:revision>21</cp:revision>
  <cp:lastPrinted>2022-03-20T12:13:00Z</cp:lastPrinted>
  <dcterms:created xsi:type="dcterms:W3CDTF">2022-04-20T07:06:00Z</dcterms:created>
  <dcterms:modified xsi:type="dcterms:W3CDTF">2022-04-26T07:13:00Z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ies>
</file>