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10F6" w14:textId="3AAC6B68" w:rsidR="00C01EDD" w:rsidRPr="00487758" w:rsidRDefault="00487758">
      <w:pPr>
        <w:pStyle w:val="Heading2"/>
        <w:numPr>
          <w:ilvl w:val="0"/>
          <w:numId w:val="0"/>
        </w:numPr>
        <w:jc w:val="center"/>
        <w:rPr>
          <w:rFonts w:ascii="Times New Roman" w:hAnsi="Times New Roman"/>
          <w:smallCaps/>
          <w:szCs w:val="22"/>
          <w:lang w:val="fr-FR"/>
        </w:rPr>
      </w:pPr>
      <w:bookmarkStart w:id="0" w:name="_Toc33780163"/>
      <w:r w:rsidRPr="00487758">
        <w:rPr>
          <w:rFonts w:ascii="Times New Roman" w:hAnsi="Times New Roman"/>
          <w:smallCaps/>
          <w:szCs w:val="22"/>
          <w:lang w:val="fr-FR"/>
        </w:rPr>
        <w:t xml:space="preserve">Organismes de placement collectif </w:t>
      </w:r>
      <w:r w:rsidR="008D60CD">
        <w:rPr>
          <w:rFonts w:ascii="Times New Roman" w:hAnsi="Times New Roman"/>
          <w:smallCaps/>
          <w:szCs w:val="22"/>
          <w:lang w:val="fr-FR"/>
        </w:rPr>
        <w:t xml:space="preserve">(OPC) </w:t>
      </w:r>
      <w:r w:rsidRPr="00487758">
        <w:rPr>
          <w:rFonts w:ascii="Times New Roman" w:hAnsi="Times New Roman"/>
          <w:smallCaps/>
          <w:szCs w:val="22"/>
          <w:lang w:val="fr-FR"/>
        </w:rPr>
        <w:t>à nombre variable de parts publics</w:t>
      </w:r>
      <w:r w:rsidR="00697BE9" w:rsidRPr="00487758">
        <w:rPr>
          <w:rFonts w:ascii="Times New Roman" w:hAnsi="Times New Roman"/>
          <w:smallCaps/>
          <w:szCs w:val="22"/>
          <w:lang w:val="fr-FR"/>
        </w:rPr>
        <w:t xml:space="preserve"> </w:t>
      </w:r>
      <w:r w:rsidR="000F7A78" w:rsidRPr="00487758">
        <w:rPr>
          <w:rFonts w:ascii="Times New Roman" w:hAnsi="Times New Roman"/>
          <w:smallCaps/>
          <w:szCs w:val="22"/>
          <w:lang w:val="fr-FR"/>
        </w:rPr>
        <w:t>–</w:t>
      </w:r>
      <w:r w:rsidR="00697BE9" w:rsidRPr="00487758">
        <w:rPr>
          <w:rFonts w:ascii="Times New Roman" w:hAnsi="Times New Roman"/>
          <w:smallCaps/>
          <w:szCs w:val="22"/>
          <w:lang w:val="fr-FR"/>
        </w:rPr>
        <w:t xml:space="preserve"> </w:t>
      </w:r>
      <w:r w:rsidRPr="00487758">
        <w:rPr>
          <w:rFonts w:ascii="Times New Roman" w:hAnsi="Times New Roman"/>
          <w:smallCaps/>
          <w:szCs w:val="22"/>
          <w:lang w:val="fr-FR"/>
        </w:rPr>
        <w:t xml:space="preserve">Déclaration du commissaire </w:t>
      </w:r>
      <w:r>
        <w:rPr>
          <w:rFonts w:ascii="Times New Roman" w:hAnsi="Times New Roman"/>
          <w:smallCaps/>
          <w:szCs w:val="22"/>
          <w:lang w:val="fr-FR"/>
        </w:rPr>
        <w:t>à</w:t>
      </w:r>
      <w:r w:rsidRPr="00487758">
        <w:rPr>
          <w:rFonts w:ascii="Times New Roman" w:hAnsi="Times New Roman"/>
          <w:smallCaps/>
          <w:szCs w:val="22"/>
          <w:lang w:val="fr-FR"/>
        </w:rPr>
        <w:t xml:space="preserve"> la</w:t>
      </w:r>
      <w:r>
        <w:rPr>
          <w:rFonts w:ascii="Times New Roman" w:hAnsi="Times New Roman"/>
          <w:smallCaps/>
          <w:szCs w:val="22"/>
          <w:lang w:val="fr-FR"/>
        </w:rPr>
        <w:t xml:space="preserve"> FSMA</w:t>
      </w:r>
      <w:r w:rsidR="000F7A78" w:rsidRPr="00487758">
        <w:rPr>
          <w:rFonts w:ascii="Times New Roman" w:hAnsi="Times New Roman"/>
          <w:smallCaps/>
          <w:szCs w:val="22"/>
          <w:lang w:val="fr-FR"/>
        </w:rPr>
        <w:t xml:space="preserve"> </w:t>
      </w:r>
      <w:r>
        <w:rPr>
          <w:rFonts w:ascii="Times New Roman" w:hAnsi="Times New Roman"/>
          <w:smallCaps/>
          <w:szCs w:val="22"/>
          <w:lang w:val="fr-FR"/>
        </w:rPr>
        <w:t>concernant les statistiques à la fin de l’exercice comptable</w:t>
      </w:r>
    </w:p>
    <w:p w14:paraId="13B64E96" w14:textId="615429F9" w:rsidR="00E80257" w:rsidRPr="00487758" w:rsidRDefault="00697BE9" w:rsidP="00082474">
      <w:pPr>
        <w:pStyle w:val="Heading2"/>
        <w:numPr>
          <w:ilvl w:val="0"/>
          <w:numId w:val="0"/>
        </w:numPr>
        <w:ind w:left="576" w:hanging="576"/>
        <w:jc w:val="center"/>
        <w:rPr>
          <w:rFonts w:ascii="Times New Roman" w:hAnsi="Times New Roman"/>
          <w:smallCaps/>
          <w:szCs w:val="22"/>
          <w:lang w:val="fr-FR"/>
        </w:rPr>
      </w:pPr>
      <w:r w:rsidRPr="00487758">
        <w:rPr>
          <w:rFonts w:ascii="Times New Roman" w:hAnsi="Times New Roman"/>
          <w:smallCaps/>
          <w:szCs w:val="22"/>
          <w:lang w:val="fr-FR"/>
        </w:rPr>
        <w:t>[</w:t>
      </w:r>
      <w:r w:rsidR="00E80257" w:rsidRPr="00487758">
        <w:rPr>
          <w:rFonts w:ascii="Times New Roman" w:hAnsi="Times New Roman"/>
          <w:i/>
          <w:iCs/>
          <w:smallCaps/>
          <w:szCs w:val="22"/>
          <w:lang w:val="fr-FR"/>
        </w:rPr>
        <w:t>o</w:t>
      </w:r>
      <w:r w:rsidR="00487758" w:rsidRPr="00487758">
        <w:rPr>
          <w:rFonts w:ascii="Times New Roman" w:hAnsi="Times New Roman"/>
          <w:i/>
          <w:iCs/>
          <w:smallCaps/>
          <w:szCs w:val="22"/>
          <w:lang w:val="fr-FR"/>
        </w:rPr>
        <w:t>u à la fin du trimestre, sel</w:t>
      </w:r>
      <w:r w:rsidR="00487758">
        <w:rPr>
          <w:rFonts w:ascii="Times New Roman" w:hAnsi="Times New Roman"/>
          <w:i/>
          <w:iCs/>
          <w:smallCaps/>
          <w:szCs w:val="22"/>
          <w:lang w:val="fr-FR"/>
        </w:rPr>
        <w:t>on le cas</w:t>
      </w:r>
      <w:bookmarkEnd w:id="0"/>
      <w:r w:rsidRPr="00487758">
        <w:rPr>
          <w:rFonts w:ascii="Times New Roman" w:hAnsi="Times New Roman"/>
          <w:smallCaps/>
          <w:szCs w:val="22"/>
          <w:lang w:val="fr-FR"/>
        </w:rPr>
        <w:t>]</w:t>
      </w:r>
    </w:p>
    <w:p w14:paraId="53F196B3" w14:textId="77777777" w:rsidR="00E80257" w:rsidRPr="00487758" w:rsidRDefault="00E80257" w:rsidP="00AF0530">
      <w:pPr>
        <w:jc w:val="both"/>
        <w:rPr>
          <w:b/>
          <w:i/>
          <w:szCs w:val="22"/>
          <w:lang w:val="fr-FR"/>
        </w:rPr>
      </w:pPr>
    </w:p>
    <w:p w14:paraId="762F326E" w14:textId="35679673" w:rsidR="004564CE" w:rsidRPr="008D60CD" w:rsidRDefault="008D60CD" w:rsidP="00AF0530">
      <w:pPr>
        <w:jc w:val="both"/>
        <w:rPr>
          <w:bCs/>
          <w:iCs/>
          <w:szCs w:val="22"/>
          <w:lang w:val="fr-FR"/>
        </w:rPr>
      </w:pPr>
      <w:r w:rsidRPr="008D60CD">
        <w:rPr>
          <w:bCs/>
          <w:iCs/>
          <w:szCs w:val="22"/>
          <w:lang w:val="fr-FR"/>
        </w:rPr>
        <w:t>Dans le cadre de l’exécution de notre mission de collaboration au contrôle prudentiel exercé par la FSMA auprès des organismes de placement collectif (OPC) n</w:t>
      </w:r>
      <w:r>
        <w:rPr>
          <w:bCs/>
          <w:iCs/>
          <w:szCs w:val="22"/>
          <w:lang w:val="fr-FR"/>
        </w:rPr>
        <w:t xml:space="preserve">ous vous présentons notre rapport concernant les </w:t>
      </w:r>
      <w:r w:rsidR="00777B9E">
        <w:rPr>
          <w:bCs/>
          <w:iCs/>
          <w:szCs w:val="22"/>
          <w:lang w:val="fr-FR"/>
        </w:rPr>
        <w:t>états périodiques</w:t>
      </w:r>
      <w:r>
        <w:rPr>
          <w:bCs/>
          <w:iCs/>
          <w:szCs w:val="22"/>
          <w:lang w:val="fr-FR"/>
        </w:rPr>
        <w:t xml:space="preserve"> de </w:t>
      </w:r>
      <w:r w:rsidR="00A206DA" w:rsidRPr="008D60CD">
        <w:rPr>
          <w:bCs/>
          <w:i/>
          <w:szCs w:val="22"/>
          <w:lang w:val="fr-FR"/>
        </w:rPr>
        <w:t>[identificati</w:t>
      </w:r>
      <w:r>
        <w:rPr>
          <w:bCs/>
          <w:i/>
          <w:szCs w:val="22"/>
          <w:lang w:val="fr-FR"/>
        </w:rPr>
        <w:t>on de l’institution</w:t>
      </w:r>
      <w:r w:rsidR="00A206DA" w:rsidRPr="008D60CD">
        <w:rPr>
          <w:bCs/>
          <w:i/>
          <w:szCs w:val="22"/>
          <w:lang w:val="fr-FR"/>
        </w:rPr>
        <w:t>]</w:t>
      </w:r>
      <w:r w:rsidR="00E80257" w:rsidRPr="008D60CD">
        <w:rPr>
          <w:bCs/>
          <w:iCs/>
          <w:szCs w:val="22"/>
          <w:lang w:val="fr-FR"/>
        </w:rPr>
        <w:t xml:space="preserve"> </w:t>
      </w:r>
      <w:r>
        <w:rPr>
          <w:bCs/>
          <w:iCs/>
          <w:szCs w:val="22"/>
          <w:lang w:val="fr-FR"/>
        </w:rPr>
        <w:t>pour</w:t>
      </w:r>
      <w:r w:rsidR="00777B9E">
        <w:rPr>
          <w:bCs/>
          <w:iCs/>
          <w:szCs w:val="22"/>
          <w:lang w:val="fr-FR"/>
        </w:rPr>
        <w:t xml:space="preserve"> [</w:t>
      </w:r>
      <w:r w:rsidR="00777B9E" w:rsidRPr="00777B9E">
        <w:rPr>
          <w:bCs/>
          <w:i/>
          <w:szCs w:val="22"/>
          <w:lang w:val="fr-FR"/>
        </w:rPr>
        <w:t>« l’exercice » ou « le trimestre », selon le cas</w:t>
      </w:r>
      <w:r w:rsidR="00777B9E">
        <w:rPr>
          <w:bCs/>
          <w:iCs/>
          <w:szCs w:val="22"/>
          <w:lang w:val="fr-FR"/>
        </w:rPr>
        <w:t>] clôturé le</w:t>
      </w:r>
      <w:r w:rsidR="00E80257" w:rsidRPr="008D60CD">
        <w:rPr>
          <w:bCs/>
          <w:iCs/>
          <w:szCs w:val="22"/>
          <w:lang w:val="fr-FR"/>
        </w:rPr>
        <w:t xml:space="preserve"> [</w:t>
      </w:r>
      <w:r w:rsidR="00777B9E" w:rsidRPr="00777B9E">
        <w:rPr>
          <w:bCs/>
          <w:i/>
          <w:szCs w:val="22"/>
          <w:lang w:val="fr-FR"/>
        </w:rPr>
        <w:t>JJ</w:t>
      </w:r>
      <w:r w:rsidR="00E80257" w:rsidRPr="00777B9E">
        <w:rPr>
          <w:bCs/>
          <w:i/>
          <w:szCs w:val="22"/>
          <w:lang w:val="fr-FR"/>
        </w:rPr>
        <w:t>/</w:t>
      </w:r>
      <w:r w:rsidR="00E80257" w:rsidRPr="008D60CD">
        <w:rPr>
          <w:bCs/>
          <w:i/>
          <w:szCs w:val="22"/>
          <w:lang w:val="fr-FR"/>
        </w:rPr>
        <w:t>MM/</w:t>
      </w:r>
      <w:r w:rsidR="00777B9E">
        <w:rPr>
          <w:bCs/>
          <w:i/>
          <w:szCs w:val="22"/>
          <w:lang w:val="fr-FR"/>
        </w:rPr>
        <w:t>AAAA</w:t>
      </w:r>
      <w:r w:rsidR="00E80257" w:rsidRPr="008D60CD">
        <w:rPr>
          <w:bCs/>
          <w:iCs/>
          <w:szCs w:val="22"/>
          <w:lang w:val="fr-FR"/>
        </w:rPr>
        <w:t>]</w:t>
      </w:r>
      <w:r w:rsidR="00A206DA" w:rsidRPr="008D60CD">
        <w:rPr>
          <w:bCs/>
          <w:iCs/>
          <w:szCs w:val="22"/>
          <w:lang w:val="fr-FR"/>
        </w:rPr>
        <w:t>.</w:t>
      </w:r>
    </w:p>
    <w:p w14:paraId="345DF6C5" w14:textId="77777777" w:rsidR="00B25B4C" w:rsidRPr="008D60CD" w:rsidRDefault="00B25B4C" w:rsidP="00B25B4C">
      <w:pPr>
        <w:jc w:val="both"/>
        <w:rPr>
          <w:b/>
          <w:i/>
          <w:szCs w:val="22"/>
          <w:lang w:val="fr-FR"/>
        </w:rPr>
      </w:pPr>
    </w:p>
    <w:p w14:paraId="481AFE41" w14:textId="638459A9" w:rsidR="00B25B4C" w:rsidRPr="00D302BA" w:rsidRDefault="00B25B4C" w:rsidP="004D656C">
      <w:pPr>
        <w:pStyle w:val="ListParagraph"/>
        <w:numPr>
          <w:ilvl w:val="0"/>
          <w:numId w:val="9"/>
        </w:numPr>
        <w:ind w:left="284" w:hanging="284"/>
        <w:jc w:val="both"/>
        <w:rPr>
          <w:b/>
          <w:iCs/>
          <w:szCs w:val="22"/>
          <w:lang w:val="fr-FR"/>
        </w:rPr>
      </w:pPr>
      <w:r w:rsidRPr="00D302BA">
        <w:rPr>
          <w:b/>
          <w:iCs/>
          <w:szCs w:val="22"/>
          <w:lang w:val="fr-FR"/>
        </w:rPr>
        <w:t>Identificati</w:t>
      </w:r>
      <w:r w:rsidR="00D302BA" w:rsidRPr="00D302BA">
        <w:rPr>
          <w:b/>
          <w:iCs/>
          <w:szCs w:val="22"/>
          <w:lang w:val="fr-FR"/>
        </w:rPr>
        <w:t xml:space="preserve">on de l’organisme de placement collectif </w:t>
      </w:r>
      <w:r w:rsidR="00D302BA">
        <w:rPr>
          <w:b/>
          <w:iCs/>
          <w:szCs w:val="22"/>
          <w:lang w:val="fr-FR"/>
        </w:rPr>
        <w:t>et de ses compartiments</w:t>
      </w:r>
    </w:p>
    <w:p w14:paraId="4E98D97B" w14:textId="77777777" w:rsidR="00B25B4C" w:rsidRPr="00D302BA" w:rsidRDefault="00B25B4C" w:rsidP="00B25B4C">
      <w:pPr>
        <w:jc w:val="both"/>
        <w:rPr>
          <w:b/>
          <w:i/>
          <w:szCs w:val="22"/>
          <w:lang w:val="fr-FR"/>
        </w:rPr>
      </w:pPr>
    </w:p>
    <w:p w14:paraId="58DC23AA" w14:textId="40C47C65" w:rsidR="00B25B4C" w:rsidRPr="00D302BA" w:rsidRDefault="00D302BA" w:rsidP="00B25B4C">
      <w:pPr>
        <w:jc w:val="both"/>
        <w:rPr>
          <w:szCs w:val="22"/>
          <w:lang w:val="fr-FR"/>
        </w:rPr>
      </w:pPr>
      <w:r w:rsidRPr="00D302BA">
        <w:rPr>
          <w:szCs w:val="22"/>
          <w:lang w:val="fr-FR"/>
        </w:rPr>
        <w:t>Dénomination de l’organisme de placement collectif</w:t>
      </w:r>
      <w:r w:rsidR="00A94973">
        <w:rPr>
          <w:szCs w:val="22"/>
          <w:lang w:val="fr-FR"/>
        </w:rPr>
        <w:t> :</w:t>
      </w:r>
    </w:p>
    <w:p w14:paraId="105124C0" w14:textId="77777777" w:rsidR="00B25B4C" w:rsidRPr="00D302BA" w:rsidRDefault="00B25B4C" w:rsidP="00B25B4C">
      <w:pPr>
        <w:jc w:val="both"/>
        <w:rPr>
          <w:szCs w:val="22"/>
          <w:lang w:val="fr-F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5B4C" w:rsidRPr="00854958" w14:paraId="356E2FD8" w14:textId="77777777" w:rsidTr="008A1809">
        <w:tc>
          <w:tcPr>
            <w:tcW w:w="9356" w:type="dxa"/>
          </w:tcPr>
          <w:p w14:paraId="13FB941F" w14:textId="77777777" w:rsidR="00B25B4C" w:rsidRPr="00D302BA" w:rsidRDefault="00B25B4C" w:rsidP="00642A6B">
            <w:pPr>
              <w:jc w:val="both"/>
              <w:rPr>
                <w:szCs w:val="22"/>
                <w:lang w:val="fr-FR"/>
              </w:rPr>
            </w:pPr>
          </w:p>
        </w:tc>
      </w:tr>
    </w:tbl>
    <w:p w14:paraId="5F2E4F5A" w14:textId="77777777" w:rsidR="00B25B4C" w:rsidRPr="00D302BA" w:rsidRDefault="00B25B4C" w:rsidP="00B25B4C">
      <w:pPr>
        <w:jc w:val="both"/>
        <w:rPr>
          <w:szCs w:val="22"/>
          <w:lang w:val="fr-FR"/>
        </w:rPr>
      </w:pPr>
    </w:p>
    <w:p w14:paraId="0EA72064" w14:textId="185E0708" w:rsidR="00B25B4C" w:rsidRPr="00D302BA" w:rsidRDefault="00D302BA" w:rsidP="00B25B4C">
      <w:pPr>
        <w:jc w:val="both"/>
        <w:rPr>
          <w:szCs w:val="22"/>
          <w:lang w:val="fr-FR"/>
        </w:rPr>
      </w:pPr>
      <w:r>
        <w:rPr>
          <w:szCs w:val="22"/>
          <w:lang w:val="fr-FR"/>
        </w:rPr>
        <w:t>Identification des compartiments</w:t>
      </w:r>
      <w:r w:rsidR="00A94973">
        <w:rPr>
          <w:szCs w:val="22"/>
          <w:lang w:val="fr-FR"/>
        </w:rPr>
        <w:t> :</w:t>
      </w:r>
    </w:p>
    <w:p w14:paraId="3C9256FF" w14:textId="77777777" w:rsidR="00B25B4C" w:rsidRPr="00D302BA" w:rsidRDefault="00B25B4C" w:rsidP="00B25B4C">
      <w:pPr>
        <w:jc w:val="both"/>
        <w:rPr>
          <w:szCs w:val="22"/>
          <w:lang w:val="fr-FR"/>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B25B4C" w:rsidRPr="0032351D" w14:paraId="365E33D3" w14:textId="77777777" w:rsidTr="00642A6B">
        <w:tc>
          <w:tcPr>
            <w:tcW w:w="953" w:type="dxa"/>
          </w:tcPr>
          <w:p w14:paraId="55205717" w14:textId="45A24F54" w:rsidR="00B25B4C" w:rsidRPr="0032351D" w:rsidRDefault="00B25B4C" w:rsidP="00642A6B">
            <w:pPr>
              <w:jc w:val="both"/>
              <w:rPr>
                <w:szCs w:val="22"/>
                <w:lang w:val="nl-BE"/>
              </w:rPr>
            </w:pPr>
            <w:r w:rsidRPr="0032351D">
              <w:rPr>
                <w:szCs w:val="22"/>
                <w:lang w:val="nl-BE"/>
              </w:rPr>
              <w:t>N</w:t>
            </w:r>
            <w:r w:rsidR="00D302BA">
              <w:rPr>
                <w:szCs w:val="22"/>
                <w:lang w:val="nl-BE"/>
              </w:rPr>
              <w:t>om</w:t>
            </w:r>
            <w:r w:rsidRPr="0032351D">
              <w:rPr>
                <w:szCs w:val="22"/>
                <w:lang w:val="nl-BE"/>
              </w:rPr>
              <w:t xml:space="preserve"> </w:t>
            </w:r>
          </w:p>
        </w:tc>
        <w:tc>
          <w:tcPr>
            <w:tcW w:w="922" w:type="dxa"/>
          </w:tcPr>
          <w:p w14:paraId="54BA011E" w14:textId="77777777" w:rsidR="00B25B4C" w:rsidRPr="0032351D" w:rsidRDefault="00B25B4C" w:rsidP="00642A6B">
            <w:pPr>
              <w:jc w:val="both"/>
              <w:rPr>
                <w:szCs w:val="22"/>
                <w:lang w:val="nl-BE"/>
              </w:rPr>
            </w:pPr>
            <w:r w:rsidRPr="0032351D">
              <w:rPr>
                <w:szCs w:val="22"/>
                <w:lang w:val="nl-BE"/>
              </w:rPr>
              <w:t xml:space="preserve">Code </w:t>
            </w:r>
          </w:p>
          <w:p w14:paraId="7EC9CE16" w14:textId="77777777" w:rsidR="00B25B4C" w:rsidRPr="0032351D" w:rsidRDefault="00B25B4C" w:rsidP="00642A6B">
            <w:pPr>
              <w:jc w:val="both"/>
              <w:rPr>
                <w:szCs w:val="22"/>
                <w:vertAlign w:val="superscript"/>
                <w:lang w:val="nl-BE"/>
              </w:rPr>
            </w:pPr>
          </w:p>
        </w:tc>
        <w:tc>
          <w:tcPr>
            <w:tcW w:w="1219" w:type="dxa"/>
          </w:tcPr>
          <w:p w14:paraId="1EF41B4E" w14:textId="77777777" w:rsidR="00B25B4C" w:rsidRPr="0032351D" w:rsidRDefault="00B25B4C" w:rsidP="00642A6B">
            <w:pPr>
              <w:jc w:val="both"/>
              <w:rPr>
                <w:szCs w:val="22"/>
                <w:lang w:val="nl-BE"/>
              </w:rPr>
            </w:pPr>
            <w:r w:rsidRPr="0032351D">
              <w:rPr>
                <w:szCs w:val="22"/>
                <w:lang w:val="nl-BE"/>
              </w:rPr>
              <w:t>STAVER</w:t>
            </w:r>
          </w:p>
        </w:tc>
        <w:tc>
          <w:tcPr>
            <w:tcW w:w="1204" w:type="dxa"/>
          </w:tcPr>
          <w:p w14:paraId="15C835D0" w14:textId="77777777" w:rsidR="00B25B4C" w:rsidRPr="0032351D" w:rsidRDefault="00B25B4C" w:rsidP="00642A6B">
            <w:pPr>
              <w:jc w:val="both"/>
              <w:rPr>
                <w:szCs w:val="22"/>
                <w:lang w:val="nl-BE"/>
              </w:rPr>
            </w:pPr>
            <w:r w:rsidRPr="0032351D">
              <w:rPr>
                <w:szCs w:val="22"/>
                <w:lang w:val="nl-BE"/>
              </w:rPr>
              <w:t>DELDAT</w:t>
            </w:r>
          </w:p>
        </w:tc>
        <w:tc>
          <w:tcPr>
            <w:tcW w:w="1011" w:type="dxa"/>
          </w:tcPr>
          <w:p w14:paraId="3CC52210" w14:textId="6475D89D" w:rsidR="00B25B4C" w:rsidRPr="0032351D" w:rsidRDefault="00B25B4C" w:rsidP="00642A6B">
            <w:pPr>
              <w:jc w:val="both"/>
              <w:rPr>
                <w:szCs w:val="22"/>
                <w:lang w:val="nl-BE"/>
              </w:rPr>
            </w:pPr>
            <w:proofErr w:type="spellStart"/>
            <w:r w:rsidRPr="0032351D">
              <w:rPr>
                <w:szCs w:val="22"/>
                <w:lang w:val="nl-BE"/>
              </w:rPr>
              <w:t>Devi</w:t>
            </w:r>
            <w:r w:rsidR="00D302BA">
              <w:rPr>
                <w:szCs w:val="22"/>
                <w:lang w:val="nl-BE"/>
              </w:rPr>
              <w:t>se</w:t>
            </w:r>
            <w:proofErr w:type="spellEnd"/>
          </w:p>
        </w:tc>
        <w:tc>
          <w:tcPr>
            <w:tcW w:w="960" w:type="dxa"/>
          </w:tcPr>
          <w:p w14:paraId="71B88DCF" w14:textId="7CF61E45" w:rsidR="00B25B4C" w:rsidRPr="0032351D" w:rsidRDefault="00D302BA" w:rsidP="00642A6B">
            <w:pPr>
              <w:jc w:val="both"/>
              <w:rPr>
                <w:szCs w:val="22"/>
                <w:lang w:val="nl-BE"/>
              </w:rPr>
            </w:pPr>
            <w:proofErr w:type="spellStart"/>
            <w:r>
              <w:rPr>
                <w:szCs w:val="22"/>
                <w:lang w:val="nl-BE"/>
              </w:rPr>
              <w:t>Actif</w:t>
            </w:r>
            <w:proofErr w:type="spellEnd"/>
            <w:r>
              <w:rPr>
                <w:szCs w:val="22"/>
                <w:lang w:val="nl-BE"/>
              </w:rPr>
              <w:t xml:space="preserve"> net</w:t>
            </w:r>
          </w:p>
        </w:tc>
        <w:tc>
          <w:tcPr>
            <w:tcW w:w="1680" w:type="dxa"/>
          </w:tcPr>
          <w:p w14:paraId="502541C6" w14:textId="5F529475" w:rsidR="00B25B4C" w:rsidRPr="0032351D" w:rsidRDefault="00D302BA" w:rsidP="00642A6B">
            <w:pPr>
              <w:jc w:val="both"/>
              <w:rPr>
                <w:szCs w:val="22"/>
                <w:lang w:val="nl-BE"/>
              </w:rPr>
            </w:pPr>
            <w:proofErr w:type="spellStart"/>
            <w:r>
              <w:rPr>
                <w:szCs w:val="22"/>
                <w:lang w:val="nl-BE"/>
              </w:rPr>
              <w:t>Souscriptions</w:t>
            </w:r>
            <w:proofErr w:type="spellEnd"/>
            <w:r w:rsidR="00B25B4C" w:rsidRPr="0032351D">
              <w:rPr>
                <w:rStyle w:val="FootnoteReference"/>
                <w:szCs w:val="22"/>
                <w:lang w:val="nl-BE"/>
              </w:rPr>
              <w:footnoteReference w:id="1"/>
            </w:r>
          </w:p>
        </w:tc>
        <w:tc>
          <w:tcPr>
            <w:tcW w:w="1391" w:type="dxa"/>
          </w:tcPr>
          <w:p w14:paraId="40592145" w14:textId="617DBA15" w:rsidR="00B25B4C" w:rsidRPr="0032351D" w:rsidRDefault="00B25B4C" w:rsidP="00642A6B">
            <w:pPr>
              <w:jc w:val="both"/>
              <w:rPr>
                <w:szCs w:val="22"/>
                <w:lang w:val="nl-BE"/>
              </w:rPr>
            </w:pPr>
            <w:proofErr w:type="spellStart"/>
            <w:r w:rsidRPr="0032351D">
              <w:rPr>
                <w:szCs w:val="22"/>
                <w:lang w:val="nl-BE"/>
              </w:rPr>
              <w:t>R</w:t>
            </w:r>
            <w:r w:rsidR="00D302BA">
              <w:rPr>
                <w:szCs w:val="22"/>
                <w:lang w:val="nl-BE"/>
              </w:rPr>
              <w:t>ésultats</w:t>
            </w:r>
            <w:proofErr w:type="spellEnd"/>
          </w:p>
        </w:tc>
      </w:tr>
      <w:tr w:rsidR="00B25B4C" w:rsidRPr="0032351D" w14:paraId="45289884" w14:textId="77777777" w:rsidTr="00642A6B">
        <w:tc>
          <w:tcPr>
            <w:tcW w:w="953" w:type="dxa"/>
          </w:tcPr>
          <w:p w14:paraId="56F704BC" w14:textId="77777777" w:rsidR="00B25B4C" w:rsidRPr="0032351D" w:rsidRDefault="00B25B4C" w:rsidP="00642A6B">
            <w:pPr>
              <w:jc w:val="both"/>
              <w:rPr>
                <w:szCs w:val="22"/>
                <w:lang w:val="nl-BE"/>
              </w:rPr>
            </w:pPr>
          </w:p>
        </w:tc>
        <w:tc>
          <w:tcPr>
            <w:tcW w:w="922" w:type="dxa"/>
          </w:tcPr>
          <w:p w14:paraId="5D7D8D64" w14:textId="77777777" w:rsidR="00B25B4C" w:rsidRPr="0032351D" w:rsidRDefault="00B25B4C" w:rsidP="00642A6B">
            <w:pPr>
              <w:jc w:val="both"/>
              <w:rPr>
                <w:szCs w:val="22"/>
                <w:lang w:val="nl-BE"/>
              </w:rPr>
            </w:pPr>
          </w:p>
        </w:tc>
        <w:tc>
          <w:tcPr>
            <w:tcW w:w="1219" w:type="dxa"/>
          </w:tcPr>
          <w:p w14:paraId="34A62127" w14:textId="77777777" w:rsidR="00B25B4C" w:rsidRPr="0032351D" w:rsidRDefault="00B25B4C" w:rsidP="00642A6B">
            <w:pPr>
              <w:jc w:val="both"/>
              <w:rPr>
                <w:szCs w:val="22"/>
                <w:lang w:val="nl-BE"/>
              </w:rPr>
            </w:pPr>
          </w:p>
        </w:tc>
        <w:tc>
          <w:tcPr>
            <w:tcW w:w="1204" w:type="dxa"/>
          </w:tcPr>
          <w:p w14:paraId="64529741" w14:textId="77777777" w:rsidR="00B25B4C" w:rsidRPr="0032351D" w:rsidRDefault="00B25B4C" w:rsidP="00642A6B">
            <w:pPr>
              <w:jc w:val="both"/>
              <w:rPr>
                <w:szCs w:val="22"/>
                <w:lang w:val="nl-BE"/>
              </w:rPr>
            </w:pPr>
          </w:p>
        </w:tc>
        <w:tc>
          <w:tcPr>
            <w:tcW w:w="1011" w:type="dxa"/>
          </w:tcPr>
          <w:p w14:paraId="4F817A65" w14:textId="77777777" w:rsidR="00B25B4C" w:rsidRPr="0032351D" w:rsidRDefault="00B25B4C" w:rsidP="00642A6B">
            <w:pPr>
              <w:jc w:val="both"/>
              <w:rPr>
                <w:szCs w:val="22"/>
                <w:lang w:val="nl-BE"/>
              </w:rPr>
            </w:pPr>
          </w:p>
        </w:tc>
        <w:tc>
          <w:tcPr>
            <w:tcW w:w="960" w:type="dxa"/>
          </w:tcPr>
          <w:p w14:paraId="3541501B" w14:textId="77777777" w:rsidR="00B25B4C" w:rsidRPr="0032351D" w:rsidRDefault="00B25B4C" w:rsidP="00642A6B">
            <w:pPr>
              <w:jc w:val="both"/>
              <w:rPr>
                <w:szCs w:val="22"/>
                <w:lang w:val="nl-BE"/>
              </w:rPr>
            </w:pPr>
          </w:p>
        </w:tc>
        <w:tc>
          <w:tcPr>
            <w:tcW w:w="1680" w:type="dxa"/>
          </w:tcPr>
          <w:p w14:paraId="25AAE65D" w14:textId="77777777" w:rsidR="00B25B4C" w:rsidRPr="0032351D" w:rsidRDefault="00B25B4C" w:rsidP="00642A6B">
            <w:pPr>
              <w:jc w:val="both"/>
              <w:rPr>
                <w:szCs w:val="22"/>
                <w:lang w:val="nl-BE"/>
              </w:rPr>
            </w:pPr>
          </w:p>
        </w:tc>
        <w:tc>
          <w:tcPr>
            <w:tcW w:w="1391" w:type="dxa"/>
          </w:tcPr>
          <w:p w14:paraId="28544D5C" w14:textId="77777777" w:rsidR="00B25B4C" w:rsidRPr="0032351D" w:rsidRDefault="00B25B4C" w:rsidP="00642A6B">
            <w:pPr>
              <w:jc w:val="both"/>
              <w:rPr>
                <w:szCs w:val="22"/>
                <w:lang w:val="nl-BE"/>
              </w:rPr>
            </w:pPr>
          </w:p>
        </w:tc>
      </w:tr>
    </w:tbl>
    <w:p w14:paraId="0BAEAB43" w14:textId="77777777" w:rsidR="004564CE" w:rsidRDefault="004564CE" w:rsidP="00AF0530">
      <w:pPr>
        <w:jc w:val="both"/>
        <w:rPr>
          <w:bCs/>
          <w:iCs/>
          <w:szCs w:val="22"/>
          <w:lang w:val="nl-BE"/>
        </w:rPr>
      </w:pPr>
    </w:p>
    <w:p w14:paraId="46ECE236" w14:textId="5CC1B888" w:rsidR="00E80257" w:rsidRPr="00926AED" w:rsidRDefault="00536DE4" w:rsidP="00926AED">
      <w:pPr>
        <w:jc w:val="both"/>
        <w:rPr>
          <w:bCs/>
          <w:iCs/>
          <w:szCs w:val="22"/>
          <w:lang w:val="fr-FR"/>
        </w:rPr>
      </w:pPr>
      <w:r w:rsidRPr="00926AED">
        <w:rPr>
          <w:bCs/>
          <w:iCs/>
          <w:szCs w:val="22"/>
          <w:lang w:val="fr-FR"/>
        </w:rPr>
        <w:t xml:space="preserve">Ce présent rapport à la FSMA a été établi conformément à l’article </w:t>
      </w:r>
      <w:r w:rsidR="00697BE9" w:rsidRPr="00926AED">
        <w:rPr>
          <w:bCs/>
          <w:iCs/>
          <w:szCs w:val="22"/>
          <w:lang w:val="fr-FR"/>
        </w:rPr>
        <w:t xml:space="preserve">106, § 1, </w:t>
      </w:r>
      <w:r w:rsidRPr="00926AED">
        <w:rPr>
          <w:bCs/>
          <w:iCs/>
          <w:szCs w:val="22"/>
          <w:lang w:val="fr-FR"/>
        </w:rPr>
        <w:t xml:space="preserve">premier </w:t>
      </w:r>
      <w:r w:rsidR="002F2F3D" w:rsidRPr="00926AED">
        <w:rPr>
          <w:bCs/>
          <w:iCs/>
          <w:szCs w:val="22"/>
          <w:lang w:val="fr-FR"/>
        </w:rPr>
        <w:t>alinéa</w:t>
      </w:r>
      <w:r w:rsidR="00697BE9" w:rsidRPr="00926AED">
        <w:rPr>
          <w:bCs/>
          <w:iCs/>
          <w:szCs w:val="22"/>
          <w:lang w:val="fr-FR"/>
        </w:rPr>
        <w:t xml:space="preserve">, 2° b), (ii) </w:t>
      </w:r>
      <w:r w:rsidRPr="00926AED">
        <w:rPr>
          <w:bCs/>
          <w:iCs/>
          <w:szCs w:val="22"/>
          <w:lang w:val="fr-FR"/>
        </w:rPr>
        <w:t xml:space="preserve">de </w:t>
      </w:r>
      <w:r w:rsidR="00926AED" w:rsidRPr="00926AED">
        <w:rPr>
          <w:bCs/>
          <w:iCs/>
          <w:szCs w:val="22"/>
          <w:lang w:val="fr-FR"/>
        </w:rPr>
        <w:t>la loi du 3 août 2012 relative aux organismes de placement collectif qui répondent aux conditions de la Directive 2009/65/CE et aux organismes de placement en créances</w:t>
      </w:r>
      <w:r w:rsidR="000F7A78" w:rsidRPr="00926AED">
        <w:rPr>
          <w:bCs/>
          <w:iCs/>
          <w:szCs w:val="22"/>
          <w:lang w:val="fr-FR"/>
        </w:rPr>
        <w:t xml:space="preserve"> (</w:t>
      </w:r>
      <w:r w:rsidR="00926AED" w:rsidRPr="00926AED">
        <w:rPr>
          <w:bCs/>
          <w:iCs/>
          <w:szCs w:val="22"/>
          <w:lang w:val="fr-FR"/>
        </w:rPr>
        <w:t>c</w:t>
      </w:r>
      <w:r w:rsidR="00926AED">
        <w:rPr>
          <w:bCs/>
          <w:iCs/>
          <w:szCs w:val="22"/>
          <w:lang w:val="fr-FR"/>
        </w:rPr>
        <w:t xml:space="preserve">i-après </w:t>
      </w:r>
      <w:r w:rsidR="000F7A78" w:rsidRPr="00926AED">
        <w:rPr>
          <w:bCs/>
          <w:iCs/>
          <w:szCs w:val="22"/>
          <w:lang w:val="fr-FR"/>
        </w:rPr>
        <w:t>“</w:t>
      </w:r>
      <w:r w:rsidR="00926AED">
        <w:rPr>
          <w:bCs/>
          <w:iCs/>
          <w:szCs w:val="22"/>
          <w:lang w:val="fr-FR"/>
        </w:rPr>
        <w:t>la loi</w:t>
      </w:r>
      <w:r w:rsidR="000F7A78" w:rsidRPr="00926AED">
        <w:rPr>
          <w:bCs/>
          <w:iCs/>
          <w:szCs w:val="22"/>
          <w:lang w:val="fr-FR"/>
        </w:rPr>
        <w:t>”)</w:t>
      </w:r>
      <w:r w:rsidR="00697BE9" w:rsidRPr="00926AED">
        <w:rPr>
          <w:bCs/>
          <w:iCs/>
          <w:szCs w:val="22"/>
          <w:lang w:val="fr-FR"/>
        </w:rPr>
        <w:t xml:space="preserve"> </w:t>
      </w:r>
      <w:r w:rsidR="00745240">
        <w:rPr>
          <w:bCs/>
          <w:iCs/>
          <w:szCs w:val="22"/>
          <w:lang w:val="fr-FR"/>
        </w:rPr>
        <w:t>concernant les états périodiques de</w:t>
      </w:r>
      <w:r w:rsidR="00697BE9" w:rsidRPr="00926AED">
        <w:rPr>
          <w:bCs/>
          <w:iCs/>
          <w:szCs w:val="22"/>
          <w:lang w:val="fr-FR"/>
        </w:rPr>
        <w:t xml:space="preserve"> </w:t>
      </w:r>
      <w:r w:rsidR="00697BE9" w:rsidRPr="00926AED">
        <w:rPr>
          <w:bCs/>
          <w:i/>
          <w:szCs w:val="22"/>
          <w:lang w:val="fr-FR"/>
        </w:rPr>
        <w:t>[identificati</w:t>
      </w:r>
      <w:r w:rsidR="00745240">
        <w:rPr>
          <w:bCs/>
          <w:i/>
          <w:szCs w:val="22"/>
          <w:lang w:val="fr-FR"/>
        </w:rPr>
        <w:t>on de l’institution</w:t>
      </w:r>
      <w:r w:rsidR="00697BE9" w:rsidRPr="00926AED">
        <w:rPr>
          <w:bCs/>
          <w:i/>
          <w:szCs w:val="22"/>
          <w:lang w:val="fr-FR"/>
        </w:rPr>
        <w:t xml:space="preserve">] </w:t>
      </w:r>
      <w:r w:rsidR="003B66B8" w:rsidRPr="00926AED">
        <w:rPr>
          <w:bCs/>
          <w:i/>
          <w:szCs w:val="22"/>
          <w:lang w:val="fr-FR"/>
        </w:rPr>
        <w:t>[“</w:t>
      </w:r>
      <w:r w:rsidR="00745240">
        <w:rPr>
          <w:bCs/>
          <w:i/>
          <w:szCs w:val="22"/>
          <w:lang w:val="fr-FR"/>
        </w:rPr>
        <w:t>pour l’exercice clôturé le JJ</w:t>
      </w:r>
      <w:r w:rsidR="00697BE9" w:rsidRPr="00926AED">
        <w:rPr>
          <w:bCs/>
          <w:i/>
          <w:szCs w:val="22"/>
          <w:lang w:val="fr-FR"/>
        </w:rPr>
        <w:t>/MM/</w:t>
      </w:r>
      <w:r w:rsidR="00745240">
        <w:rPr>
          <w:bCs/>
          <w:i/>
          <w:szCs w:val="22"/>
          <w:lang w:val="fr-FR"/>
        </w:rPr>
        <w:t>AAAA</w:t>
      </w:r>
      <w:r w:rsidR="00697BE9" w:rsidRPr="00926AED">
        <w:rPr>
          <w:bCs/>
          <w:i/>
          <w:szCs w:val="22"/>
          <w:lang w:val="fr-FR"/>
        </w:rPr>
        <w:t xml:space="preserve">” </w:t>
      </w:r>
      <w:r w:rsidR="00745240">
        <w:rPr>
          <w:bCs/>
          <w:i/>
          <w:szCs w:val="22"/>
          <w:lang w:val="fr-FR"/>
        </w:rPr>
        <w:t>ou</w:t>
      </w:r>
      <w:r w:rsidR="003B66B8" w:rsidRPr="00926AED">
        <w:rPr>
          <w:bCs/>
          <w:i/>
          <w:szCs w:val="22"/>
          <w:lang w:val="fr-FR"/>
        </w:rPr>
        <w:t xml:space="preserve"> “</w:t>
      </w:r>
      <w:r w:rsidR="00745240">
        <w:rPr>
          <w:bCs/>
          <w:i/>
          <w:szCs w:val="22"/>
          <w:lang w:val="fr-FR"/>
        </w:rPr>
        <w:t>à la fin du trimestre clôturé le JJ</w:t>
      </w:r>
      <w:r w:rsidR="00697BE9" w:rsidRPr="00926AED">
        <w:rPr>
          <w:bCs/>
          <w:i/>
          <w:szCs w:val="22"/>
          <w:lang w:val="fr-FR"/>
        </w:rPr>
        <w:t>/MM/</w:t>
      </w:r>
      <w:r w:rsidR="00745240">
        <w:rPr>
          <w:bCs/>
          <w:i/>
          <w:szCs w:val="22"/>
          <w:lang w:val="fr-FR"/>
        </w:rPr>
        <w:t>AAAA</w:t>
      </w:r>
      <w:r w:rsidR="003B66B8" w:rsidRPr="00926AED">
        <w:rPr>
          <w:bCs/>
          <w:i/>
          <w:szCs w:val="22"/>
          <w:lang w:val="fr-FR"/>
        </w:rPr>
        <w:t>”</w:t>
      </w:r>
      <w:r w:rsidR="00697BE9" w:rsidRPr="00926AED">
        <w:rPr>
          <w:bCs/>
          <w:i/>
          <w:szCs w:val="22"/>
          <w:lang w:val="fr-FR"/>
        </w:rPr>
        <w:t xml:space="preserve">, </w:t>
      </w:r>
      <w:r w:rsidR="0029202C">
        <w:rPr>
          <w:bCs/>
          <w:i/>
          <w:szCs w:val="22"/>
          <w:lang w:val="fr-FR"/>
        </w:rPr>
        <w:t>selon le cas</w:t>
      </w:r>
      <w:r w:rsidR="00965AED" w:rsidRPr="00926AED">
        <w:rPr>
          <w:bCs/>
          <w:i/>
          <w:szCs w:val="22"/>
          <w:lang w:val="fr-FR"/>
        </w:rPr>
        <w:t>]</w:t>
      </w:r>
      <w:r w:rsidR="00697BE9" w:rsidRPr="00926AED">
        <w:rPr>
          <w:bCs/>
          <w:i/>
          <w:szCs w:val="22"/>
          <w:lang w:val="fr-FR"/>
        </w:rPr>
        <w:t>”</w:t>
      </w:r>
      <w:r w:rsidR="000F746B" w:rsidRPr="00926AED">
        <w:rPr>
          <w:bCs/>
          <w:i/>
          <w:szCs w:val="22"/>
          <w:lang w:val="fr-FR"/>
        </w:rPr>
        <w:t>.</w:t>
      </w:r>
    </w:p>
    <w:p w14:paraId="08AF064A" w14:textId="77777777" w:rsidR="00697BE9" w:rsidRPr="00926AED" w:rsidRDefault="00697BE9" w:rsidP="00AF0530">
      <w:pPr>
        <w:jc w:val="both"/>
        <w:rPr>
          <w:bCs/>
          <w:i/>
          <w:szCs w:val="22"/>
          <w:lang w:val="fr-FR"/>
        </w:rPr>
      </w:pPr>
    </w:p>
    <w:p w14:paraId="3D91021A" w14:textId="0A9026D2" w:rsidR="00697BE9" w:rsidRPr="0029202C" w:rsidRDefault="0029202C" w:rsidP="00AF0530">
      <w:pPr>
        <w:jc w:val="both"/>
        <w:rPr>
          <w:bCs/>
          <w:iCs/>
          <w:szCs w:val="22"/>
          <w:lang w:val="fr-FR"/>
        </w:rPr>
      </w:pPr>
      <w:r w:rsidRPr="0029202C">
        <w:rPr>
          <w:bCs/>
          <w:iCs/>
          <w:szCs w:val="22"/>
          <w:lang w:val="fr-FR"/>
        </w:rPr>
        <w:t>Les états périodiques se composent comme suit</w:t>
      </w:r>
      <w:r w:rsidR="00F9406E" w:rsidRPr="0029202C">
        <w:rPr>
          <w:bCs/>
          <w:iCs/>
          <w:szCs w:val="22"/>
          <w:lang w:val="fr-FR"/>
        </w:rPr>
        <w:t xml:space="preserve"> (</w:t>
      </w:r>
      <w:r w:rsidRPr="0029202C">
        <w:rPr>
          <w:bCs/>
          <w:iCs/>
          <w:szCs w:val="22"/>
          <w:lang w:val="fr-FR"/>
        </w:rPr>
        <w:t>c</w:t>
      </w:r>
      <w:r>
        <w:rPr>
          <w:bCs/>
          <w:iCs/>
          <w:szCs w:val="22"/>
          <w:lang w:val="fr-FR"/>
        </w:rPr>
        <w:t>i-après</w:t>
      </w:r>
      <w:r w:rsidR="00F9406E" w:rsidRPr="0029202C">
        <w:rPr>
          <w:bCs/>
          <w:iCs/>
          <w:szCs w:val="22"/>
          <w:lang w:val="fr-FR"/>
        </w:rPr>
        <w:t xml:space="preserve"> </w:t>
      </w:r>
      <w:r w:rsidR="00434572" w:rsidRPr="00641076">
        <w:rPr>
          <w:bCs/>
          <w:iCs/>
          <w:szCs w:val="22"/>
          <w:lang w:val="fr-FR"/>
        </w:rPr>
        <w:t>“</w:t>
      </w:r>
      <w:r w:rsidRPr="00641076">
        <w:rPr>
          <w:bCs/>
          <w:iCs/>
          <w:szCs w:val="22"/>
          <w:lang w:val="fr-FR"/>
        </w:rPr>
        <w:t>les statistiques</w:t>
      </w:r>
      <w:r w:rsidR="00434572" w:rsidRPr="00641076">
        <w:rPr>
          <w:bCs/>
          <w:iCs/>
          <w:szCs w:val="22"/>
          <w:lang w:val="fr-FR"/>
        </w:rPr>
        <w:t>”</w:t>
      </w:r>
      <w:r w:rsidR="00F9406E" w:rsidRPr="0029202C">
        <w:rPr>
          <w:bCs/>
          <w:iCs/>
          <w:szCs w:val="22"/>
          <w:lang w:val="fr-FR"/>
        </w:rPr>
        <w:t>)</w:t>
      </w:r>
      <w:r w:rsidR="00A94973">
        <w:rPr>
          <w:bCs/>
          <w:iCs/>
          <w:szCs w:val="22"/>
          <w:lang w:val="fr-FR"/>
        </w:rPr>
        <w:t> :</w:t>
      </w:r>
    </w:p>
    <w:p w14:paraId="70FACEED" w14:textId="572DF50B" w:rsidR="001D4103" w:rsidRDefault="00B13FAA" w:rsidP="00B13FAA">
      <w:pPr>
        <w:pStyle w:val="ListParagraph"/>
        <w:numPr>
          <w:ilvl w:val="0"/>
          <w:numId w:val="7"/>
        </w:numPr>
        <w:spacing w:line="240" w:lineRule="auto"/>
        <w:jc w:val="both"/>
        <w:rPr>
          <w:szCs w:val="22"/>
          <w:lang w:val="fr-FR"/>
        </w:rPr>
      </w:pPr>
      <w:r w:rsidRPr="001D4103">
        <w:rPr>
          <w:szCs w:val="22"/>
          <w:lang w:val="fr-FR"/>
        </w:rPr>
        <w:t xml:space="preserve">Les données conformes au calendrier de déclaration relatif aux OPC </w:t>
      </w:r>
      <w:r w:rsidR="00697BE9" w:rsidRPr="001D4103">
        <w:rPr>
          <w:szCs w:val="22"/>
          <w:lang w:val="fr-FR"/>
        </w:rPr>
        <w:t>(</w:t>
      </w:r>
      <w:r w:rsidRPr="001D4103">
        <w:rPr>
          <w:szCs w:val="22"/>
          <w:lang w:val="fr-FR"/>
        </w:rPr>
        <w:t xml:space="preserve">les tableaux </w:t>
      </w:r>
      <w:r w:rsidR="00641076">
        <w:rPr>
          <w:szCs w:val="22"/>
          <w:lang w:val="fr-FR"/>
        </w:rPr>
        <w:t>‘</w:t>
      </w:r>
      <w:r w:rsidRPr="001D4103">
        <w:rPr>
          <w:szCs w:val="22"/>
          <w:lang w:val="fr-FR"/>
        </w:rPr>
        <w:t>AIF</w:t>
      </w:r>
      <w:r w:rsidR="00641076">
        <w:rPr>
          <w:szCs w:val="22"/>
          <w:lang w:val="fr-FR"/>
        </w:rPr>
        <w:t>’</w:t>
      </w:r>
      <w:r w:rsidR="00697BE9" w:rsidRPr="001D4103">
        <w:rPr>
          <w:szCs w:val="22"/>
          <w:lang w:val="fr-FR"/>
        </w:rPr>
        <w:t>)</w:t>
      </w:r>
      <w:r w:rsidR="00A94973">
        <w:rPr>
          <w:szCs w:val="22"/>
          <w:lang w:val="fr-FR"/>
        </w:rPr>
        <w:t> ;</w:t>
      </w:r>
    </w:p>
    <w:p w14:paraId="4C693EE5" w14:textId="191E8E06" w:rsidR="00697BE9" w:rsidRPr="001D4103" w:rsidRDefault="00B13FAA" w:rsidP="00B13FAA">
      <w:pPr>
        <w:pStyle w:val="ListParagraph"/>
        <w:numPr>
          <w:ilvl w:val="0"/>
          <w:numId w:val="7"/>
        </w:numPr>
        <w:spacing w:line="240" w:lineRule="auto"/>
        <w:jc w:val="both"/>
        <w:rPr>
          <w:szCs w:val="22"/>
          <w:lang w:val="fr-FR"/>
        </w:rPr>
      </w:pPr>
      <w:r w:rsidRPr="001D4103">
        <w:rPr>
          <w:szCs w:val="22"/>
          <w:lang w:val="fr-FR"/>
        </w:rPr>
        <w:t xml:space="preserve">Les données répertoriées dans le schéma en tant qu’annexe 1 du Règlement de l’Autorité des services et marchés financiers du 16 mai 2017 concernant les informations statistiques à transmettre par certains organismes de placement collectif publics à nombre variable de parts </w:t>
      </w:r>
      <w:r w:rsidR="001D4103" w:rsidRPr="001D4103">
        <w:rPr>
          <w:szCs w:val="22"/>
          <w:lang w:val="fr-FR"/>
        </w:rPr>
        <w:t xml:space="preserve">(ci-après </w:t>
      </w:r>
      <w:r w:rsidR="00641076" w:rsidRPr="00926AED">
        <w:rPr>
          <w:bCs/>
          <w:iCs/>
          <w:szCs w:val="22"/>
          <w:lang w:val="fr-FR"/>
        </w:rPr>
        <w:t>“</w:t>
      </w:r>
      <w:r w:rsidR="001D4103" w:rsidRPr="001D4103">
        <w:rPr>
          <w:szCs w:val="22"/>
          <w:lang w:val="fr-FR"/>
        </w:rPr>
        <w:t>le Règlement</w:t>
      </w:r>
      <w:r w:rsidR="00641076" w:rsidRPr="00926AED">
        <w:rPr>
          <w:bCs/>
          <w:iCs/>
          <w:szCs w:val="22"/>
          <w:lang w:val="fr-FR"/>
        </w:rPr>
        <w:t>”</w:t>
      </w:r>
      <w:r w:rsidR="001D4103" w:rsidRPr="001D4103">
        <w:rPr>
          <w:szCs w:val="22"/>
          <w:lang w:val="fr-FR"/>
        </w:rPr>
        <w:t xml:space="preserve">) </w:t>
      </w:r>
      <w:r w:rsidR="00697BE9" w:rsidRPr="001D4103">
        <w:rPr>
          <w:szCs w:val="22"/>
          <w:lang w:val="fr-FR"/>
        </w:rPr>
        <w:t>(</w:t>
      </w:r>
      <w:r w:rsidR="001D4103">
        <w:rPr>
          <w:szCs w:val="22"/>
          <w:lang w:val="fr-FR"/>
        </w:rPr>
        <w:t>l</w:t>
      </w:r>
      <w:r w:rsidR="00CF083B">
        <w:rPr>
          <w:szCs w:val="22"/>
          <w:lang w:val="fr-FR"/>
        </w:rPr>
        <w:t>e tableau</w:t>
      </w:r>
      <w:r w:rsidR="001D4103">
        <w:rPr>
          <w:szCs w:val="22"/>
          <w:lang w:val="fr-FR"/>
        </w:rPr>
        <w:t xml:space="preserve"> </w:t>
      </w:r>
      <w:r w:rsidR="00641076">
        <w:rPr>
          <w:szCs w:val="22"/>
          <w:lang w:val="fr-FR"/>
        </w:rPr>
        <w:t>‘</w:t>
      </w:r>
      <w:r w:rsidR="00697BE9" w:rsidRPr="001D4103">
        <w:rPr>
          <w:szCs w:val="22"/>
          <w:lang w:val="fr-FR"/>
        </w:rPr>
        <w:t>CIS_SUP_1</w:t>
      </w:r>
      <w:r w:rsidR="00641076">
        <w:rPr>
          <w:szCs w:val="22"/>
          <w:lang w:val="fr-FR"/>
        </w:rPr>
        <w:t>’</w:t>
      </w:r>
      <w:r w:rsidR="00697BE9" w:rsidRPr="001D4103">
        <w:rPr>
          <w:szCs w:val="22"/>
          <w:lang w:val="fr-FR"/>
        </w:rPr>
        <w:t>)</w:t>
      </w:r>
      <w:r w:rsidR="00A94973">
        <w:rPr>
          <w:szCs w:val="22"/>
          <w:lang w:val="fr-FR"/>
        </w:rPr>
        <w:t> ; et</w:t>
      </w:r>
    </w:p>
    <w:p w14:paraId="7C9EAFD4" w14:textId="76CB2656" w:rsidR="00697BE9" w:rsidRPr="001D4103" w:rsidRDefault="001D4103" w:rsidP="00AF0530">
      <w:pPr>
        <w:pStyle w:val="ListParagraph"/>
        <w:numPr>
          <w:ilvl w:val="0"/>
          <w:numId w:val="7"/>
        </w:numPr>
        <w:spacing w:line="240" w:lineRule="auto"/>
        <w:ind w:left="426" w:hanging="426"/>
        <w:jc w:val="both"/>
        <w:rPr>
          <w:szCs w:val="22"/>
          <w:lang w:val="fr-FR"/>
        </w:rPr>
      </w:pPr>
      <w:r w:rsidRPr="001D4103">
        <w:rPr>
          <w:szCs w:val="22"/>
          <w:lang w:val="fr-FR"/>
        </w:rPr>
        <w:t xml:space="preserve">Les données répertoriées dans le schéma en </w:t>
      </w:r>
      <w:r w:rsidR="00DF0003">
        <w:rPr>
          <w:szCs w:val="22"/>
          <w:lang w:val="fr-FR"/>
        </w:rPr>
        <w:t xml:space="preserve">tant </w:t>
      </w:r>
      <w:r w:rsidRPr="001D4103">
        <w:rPr>
          <w:szCs w:val="22"/>
          <w:lang w:val="fr-FR"/>
        </w:rPr>
        <w:t xml:space="preserve">qu’annexe 2 du </w:t>
      </w:r>
      <w:r>
        <w:rPr>
          <w:szCs w:val="22"/>
          <w:lang w:val="fr-FR"/>
        </w:rPr>
        <w:t xml:space="preserve">Règlement </w:t>
      </w:r>
      <w:r w:rsidR="00697BE9" w:rsidRPr="001D4103">
        <w:rPr>
          <w:szCs w:val="22"/>
          <w:lang w:val="fr-FR"/>
        </w:rPr>
        <w:t>(</w:t>
      </w:r>
      <w:r>
        <w:rPr>
          <w:szCs w:val="22"/>
          <w:lang w:val="fr-FR"/>
        </w:rPr>
        <w:t>l</w:t>
      </w:r>
      <w:r w:rsidR="00CF083B">
        <w:rPr>
          <w:szCs w:val="22"/>
          <w:lang w:val="fr-FR"/>
        </w:rPr>
        <w:t>e tableau</w:t>
      </w:r>
      <w:r>
        <w:rPr>
          <w:szCs w:val="22"/>
          <w:lang w:val="fr-FR"/>
        </w:rPr>
        <w:t xml:space="preserve"> </w:t>
      </w:r>
      <w:r w:rsidR="00641076">
        <w:rPr>
          <w:szCs w:val="22"/>
          <w:lang w:val="fr-FR"/>
        </w:rPr>
        <w:t>‘</w:t>
      </w:r>
      <w:r w:rsidR="00697BE9" w:rsidRPr="001D4103">
        <w:rPr>
          <w:szCs w:val="22"/>
          <w:lang w:val="fr-FR"/>
        </w:rPr>
        <w:t>CIS_SUP_2</w:t>
      </w:r>
      <w:r w:rsidR="00641076">
        <w:rPr>
          <w:szCs w:val="22"/>
          <w:lang w:val="fr-FR"/>
        </w:rPr>
        <w:t>’</w:t>
      </w:r>
      <w:r w:rsidR="00697BE9" w:rsidRPr="001D4103">
        <w:rPr>
          <w:szCs w:val="22"/>
          <w:lang w:val="fr-FR"/>
        </w:rPr>
        <w:t>).</w:t>
      </w:r>
    </w:p>
    <w:p w14:paraId="6ECC53A5" w14:textId="77777777" w:rsidR="00697BE9" w:rsidRPr="001D4103" w:rsidRDefault="00697BE9" w:rsidP="00AF0530">
      <w:pPr>
        <w:spacing w:line="240" w:lineRule="auto"/>
        <w:jc w:val="both"/>
        <w:rPr>
          <w:szCs w:val="22"/>
          <w:lang w:val="fr-FR"/>
        </w:rPr>
      </w:pPr>
    </w:p>
    <w:p w14:paraId="4DDEEC6B" w14:textId="29D7425B" w:rsidR="00426E9B" w:rsidRPr="0049726A" w:rsidRDefault="00D92A02" w:rsidP="00AF0530">
      <w:pPr>
        <w:spacing w:line="240" w:lineRule="auto"/>
        <w:jc w:val="both"/>
        <w:rPr>
          <w:szCs w:val="22"/>
          <w:lang w:val="fr-FR"/>
        </w:rPr>
      </w:pPr>
      <w:r w:rsidRPr="0010274D">
        <w:rPr>
          <w:szCs w:val="22"/>
          <w:lang w:val="fr-FR"/>
        </w:rPr>
        <w:t xml:space="preserve">La circulaire </w:t>
      </w:r>
      <w:r w:rsidR="00426E9B" w:rsidRPr="0010274D">
        <w:rPr>
          <w:szCs w:val="22"/>
          <w:lang w:val="fr-FR"/>
        </w:rPr>
        <w:t xml:space="preserve">FSMA 2022_08 </w:t>
      </w:r>
      <w:r w:rsidRPr="0010274D">
        <w:rPr>
          <w:szCs w:val="22"/>
          <w:lang w:val="fr-FR"/>
        </w:rPr>
        <w:t xml:space="preserve">précise </w:t>
      </w:r>
      <w:r w:rsidR="0010274D" w:rsidRPr="0010274D">
        <w:rPr>
          <w:szCs w:val="22"/>
          <w:lang w:val="fr-FR"/>
        </w:rPr>
        <w:t xml:space="preserve">le rôle des </w:t>
      </w:r>
      <w:r w:rsidR="0010274D">
        <w:rPr>
          <w:szCs w:val="22"/>
          <w:lang w:val="fr-FR"/>
        </w:rPr>
        <w:t xml:space="preserve">réviseurs agréés </w:t>
      </w:r>
      <w:r w:rsidR="0010274D" w:rsidRPr="0010274D">
        <w:rPr>
          <w:szCs w:val="22"/>
          <w:lang w:val="fr-FR"/>
        </w:rPr>
        <w:t xml:space="preserve">concernant les données incluses dans les statistiques. La première partie de ce rapport concerne notre </w:t>
      </w:r>
      <w:r w:rsidR="0010274D">
        <w:rPr>
          <w:szCs w:val="22"/>
          <w:lang w:val="fr-FR"/>
        </w:rPr>
        <w:t>contrôle</w:t>
      </w:r>
      <w:r w:rsidR="0010274D" w:rsidRPr="0010274D">
        <w:rPr>
          <w:szCs w:val="22"/>
          <w:lang w:val="fr-FR"/>
        </w:rPr>
        <w:t xml:space="preserve"> des données financières </w:t>
      </w:r>
      <w:r w:rsidR="008C4D25">
        <w:rPr>
          <w:szCs w:val="22"/>
          <w:lang w:val="fr-FR"/>
        </w:rPr>
        <w:t>reprises dans les</w:t>
      </w:r>
      <w:r w:rsidR="0010274D" w:rsidRPr="0010274D">
        <w:rPr>
          <w:szCs w:val="22"/>
          <w:lang w:val="fr-FR"/>
        </w:rPr>
        <w:t xml:space="preserve"> états financiers. La deuxième partie du rapport porte sur les procédures effectuées sur les données non</w:t>
      </w:r>
      <w:r w:rsidR="0010274D">
        <w:rPr>
          <w:szCs w:val="22"/>
          <w:lang w:val="fr-FR"/>
        </w:rPr>
        <w:t>-</w:t>
      </w:r>
      <w:r w:rsidR="0010274D" w:rsidRPr="0010274D">
        <w:rPr>
          <w:szCs w:val="22"/>
          <w:lang w:val="fr-FR"/>
        </w:rPr>
        <w:t>financières</w:t>
      </w:r>
      <w:r w:rsidR="0010274D">
        <w:rPr>
          <w:szCs w:val="22"/>
          <w:lang w:val="fr-FR"/>
        </w:rPr>
        <w:t>.</w:t>
      </w:r>
    </w:p>
    <w:p w14:paraId="3E08B97A" w14:textId="77777777" w:rsidR="008F2FB6" w:rsidRPr="0049726A" w:rsidRDefault="008F2FB6" w:rsidP="00AF0530">
      <w:pPr>
        <w:spacing w:line="240" w:lineRule="auto"/>
        <w:jc w:val="both"/>
        <w:rPr>
          <w:szCs w:val="22"/>
          <w:lang w:val="fr-FR"/>
        </w:rPr>
      </w:pPr>
    </w:p>
    <w:p w14:paraId="12AEDD47" w14:textId="4DA95E05" w:rsidR="0049726A" w:rsidRDefault="0049726A">
      <w:pPr>
        <w:spacing w:after="160" w:line="259" w:lineRule="auto"/>
        <w:rPr>
          <w:b/>
          <w:i/>
          <w:szCs w:val="22"/>
          <w:lang w:val="fr-FR"/>
        </w:rPr>
      </w:pPr>
      <w:r>
        <w:rPr>
          <w:b/>
          <w:i/>
          <w:szCs w:val="22"/>
          <w:lang w:val="fr-FR"/>
        </w:rPr>
        <w:br w:type="page"/>
      </w:r>
    </w:p>
    <w:p w14:paraId="7588BE3B" w14:textId="77777777" w:rsidR="000F7A78" w:rsidRPr="0049726A" w:rsidRDefault="000F7A78" w:rsidP="00AF0530">
      <w:pPr>
        <w:jc w:val="both"/>
        <w:rPr>
          <w:b/>
          <w:i/>
          <w:szCs w:val="22"/>
          <w:lang w:val="fr-FR"/>
        </w:rPr>
      </w:pPr>
    </w:p>
    <w:p w14:paraId="596B9AB9" w14:textId="2B1254AA" w:rsidR="00E80257" w:rsidRPr="00761DC1" w:rsidRDefault="00761DC1" w:rsidP="00E335AF">
      <w:pPr>
        <w:pStyle w:val="ListParagraph"/>
        <w:numPr>
          <w:ilvl w:val="0"/>
          <w:numId w:val="9"/>
        </w:numPr>
        <w:ind w:left="284" w:hanging="284"/>
        <w:jc w:val="both"/>
        <w:rPr>
          <w:b/>
          <w:iCs/>
          <w:szCs w:val="22"/>
          <w:lang w:val="fr-FR"/>
        </w:rPr>
      </w:pPr>
      <w:r w:rsidRPr="00761DC1">
        <w:rPr>
          <w:b/>
          <w:iCs/>
          <w:szCs w:val="22"/>
          <w:lang w:val="fr-FR"/>
        </w:rPr>
        <w:t>Partie</w:t>
      </w:r>
      <w:r w:rsidR="002138AF" w:rsidRPr="00761DC1">
        <w:rPr>
          <w:b/>
          <w:iCs/>
          <w:szCs w:val="22"/>
          <w:lang w:val="fr-FR"/>
        </w:rPr>
        <w:t xml:space="preserve"> 1 : </w:t>
      </w:r>
      <w:r w:rsidRPr="00761DC1">
        <w:rPr>
          <w:b/>
          <w:iCs/>
          <w:szCs w:val="22"/>
          <w:lang w:val="fr-FR"/>
        </w:rPr>
        <w:t>Rapport du commissaire à la FSMA</w:t>
      </w:r>
      <w:r w:rsidR="00E80257" w:rsidRPr="00761DC1">
        <w:rPr>
          <w:b/>
          <w:iCs/>
          <w:szCs w:val="22"/>
          <w:lang w:val="fr-FR"/>
        </w:rPr>
        <w:t xml:space="preserve"> </w:t>
      </w:r>
      <w:r w:rsidRPr="00761DC1">
        <w:rPr>
          <w:b/>
          <w:iCs/>
          <w:szCs w:val="22"/>
          <w:lang w:val="fr-FR"/>
        </w:rPr>
        <w:t xml:space="preserve">conformément à l’article </w:t>
      </w:r>
      <w:r w:rsidR="00E80257" w:rsidRPr="00761DC1">
        <w:rPr>
          <w:b/>
          <w:iCs/>
          <w:szCs w:val="22"/>
          <w:lang w:val="fr-FR"/>
        </w:rPr>
        <w:t xml:space="preserve">106, § 1, </w:t>
      </w:r>
      <w:r w:rsidRPr="00761DC1">
        <w:rPr>
          <w:b/>
          <w:iCs/>
          <w:szCs w:val="22"/>
          <w:lang w:val="fr-FR"/>
        </w:rPr>
        <w:t xml:space="preserve">premier </w:t>
      </w:r>
      <w:r w:rsidR="002F2F3D" w:rsidRPr="00761DC1">
        <w:rPr>
          <w:b/>
          <w:iCs/>
          <w:szCs w:val="22"/>
          <w:lang w:val="fr-FR"/>
        </w:rPr>
        <w:t>alinéa</w:t>
      </w:r>
      <w:r w:rsidR="00E80257" w:rsidRPr="00761DC1">
        <w:rPr>
          <w:b/>
          <w:iCs/>
          <w:szCs w:val="22"/>
          <w:lang w:val="fr-FR"/>
        </w:rPr>
        <w:t xml:space="preserve">, 2°, b), (ii) </w:t>
      </w:r>
      <w:r w:rsidRPr="00761DC1">
        <w:rPr>
          <w:b/>
          <w:iCs/>
          <w:szCs w:val="22"/>
          <w:lang w:val="fr-FR"/>
        </w:rPr>
        <w:t>de la loi du 3 août</w:t>
      </w:r>
      <w:r w:rsidR="00E80257" w:rsidRPr="00761DC1">
        <w:rPr>
          <w:b/>
          <w:iCs/>
          <w:szCs w:val="22"/>
          <w:lang w:val="fr-FR"/>
        </w:rPr>
        <w:t xml:space="preserve"> 2012 </w:t>
      </w:r>
      <w:r w:rsidRPr="00761DC1">
        <w:rPr>
          <w:b/>
          <w:iCs/>
          <w:szCs w:val="22"/>
          <w:lang w:val="fr-FR"/>
        </w:rPr>
        <w:t>concernant l</w:t>
      </w:r>
      <w:r>
        <w:rPr>
          <w:b/>
          <w:iCs/>
          <w:szCs w:val="22"/>
          <w:lang w:val="fr-FR"/>
        </w:rPr>
        <w:t>es tableaux</w:t>
      </w:r>
      <w:r w:rsidR="000760E1" w:rsidRPr="00761DC1">
        <w:rPr>
          <w:b/>
          <w:iCs/>
          <w:szCs w:val="22"/>
          <w:lang w:val="fr-FR"/>
        </w:rPr>
        <w:t xml:space="preserve"> CIS_SUP_2</w:t>
      </w:r>
      <w:r w:rsidR="00E80257" w:rsidRPr="00761DC1">
        <w:rPr>
          <w:b/>
          <w:iCs/>
          <w:szCs w:val="22"/>
          <w:lang w:val="fr-FR"/>
        </w:rPr>
        <w:t xml:space="preserve"> </w:t>
      </w:r>
      <w:r>
        <w:rPr>
          <w:b/>
          <w:iCs/>
          <w:szCs w:val="22"/>
          <w:lang w:val="fr-FR"/>
        </w:rPr>
        <w:t xml:space="preserve">et les données financières </w:t>
      </w:r>
      <w:r w:rsidR="008C4D25">
        <w:rPr>
          <w:b/>
          <w:iCs/>
          <w:szCs w:val="22"/>
          <w:lang w:val="fr-FR"/>
        </w:rPr>
        <w:t xml:space="preserve">reprises </w:t>
      </w:r>
      <w:r>
        <w:rPr>
          <w:b/>
          <w:iCs/>
          <w:szCs w:val="22"/>
          <w:lang w:val="fr-FR"/>
        </w:rPr>
        <w:t xml:space="preserve">dans les </w:t>
      </w:r>
      <w:r w:rsidR="0042254B">
        <w:rPr>
          <w:b/>
          <w:iCs/>
          <w:szCs w:val="22"/>
          <w:lang w:val="fr-FR"/>
        </w:rPr>
        <w:t>table</w:t>
      </w:r>
      <w:r w:rsidR="009C219A">
        <w:rPr>
          <w:b/>
          <w:iCs/>
          <w:szCs w:val="22"/>
          <w:lang w:val="fr-FR"/>
        </w:rPr>
        <w:t>aux</w:t>
      </w:r>
      <w:r w:rsidR="00FD7752" w:rsidRPr="00761DC1">
        <w:rPr>
          <w:b/>
          <w:iCs/>
          <w:szCs w:val="22"/>
          <w:lang w:val="fr-FR"/>
        </w:rPr>
        <w:t xml:space="preserve"> AIF e</w:t>
      </w:r>
      <w:r w:rsidR="0042254B">
        <w:rPr>
          <w:b/>
          <w:iCs/>
          <w:szCs w:val="22"/>
          <w:lang w:val="fr-FR"/>
        </w:rPr>
        <w:t>t</w:t>
      </w:r>
      <w:r w:rsidR="00FD7752" w:rsidRPr="00761DC1">
        <w:rPr>
          <w:b/>
          <w:iCs/>
          <w:szCs w:val="22"/>
          <w:lang w:val="fr-FR"/>
        </w:rPr>
        <w:t xml:space="preserve"> CIS_SUP</w:t>
      </w:r>
      <w:r w:rsidR="00434572" w:rsidRPr="00761DC1">
        <w:rPr>
          <w:b/>
          <w:iCs/>
          <w:szCs w:val="22"/>
          <w:lang w:val="fr-FR"/>
        </w:rPr>
        <w:t>_</w:t>
      </w:r>
      <w:r w:rsidR="00FD7752" w:rsidRPr="00761DC1">
        <w:rPr>
          <w:b/>
          <w:iCs/>
          <w:szCs w:val="22"/>
          <w:lang w:val="fr-FR"/>
        </w:rPr>
        <w:t xml:space="preserve">1 </w:t>
      </w:r>
      <w:r w:rsidR="0042254B">
        <w:rPr>
          <w:b/>
          <w:iCs/>
          <w:szCs w:val="22"/>
          <w:lang w:val="fr-FR"/>
        </w:rPr>
        <w:t>de</w:t>
      </w:r>
      <w:r w:rsidR="00E80257" w:rsidRPr="00761DC1">
        <w:rPr>
          <w:b/>
          <w:iCs/>
          <w:szCs w:val="22"/>
          <w:lang w:val="fr-FR"/>
        </w:rPr>
        <w:t xml:space="preserve"> </w:t>
      </w:r>
      <w:r w:rsidR="00E80257" w:rsidRPr="00761DC1">
        <w:rPr>
          <w:b/>
          <w:i/>
          <w:szCs w:val="22"/>
          <w:lang w:val="fr-FR"/>
        </w:rPr>
        <w:t>[identificati</w:t>
      </w:r>
      <w:r w:rsidR="0042254B">
        <w:rPr>
          <w:b/>
          <w:i/>
          <w:szCs w:val="22"/>
          <w:lang w:val="fr-FR"/>
        </w:rPr>
        <w:t>on de l’institution</w:t>
      </w:r>
      <w:r w:rsidR="00E80257" w:rsidRPr="00761DC1">
        <w:rPr>
          <w:b/>
          <w:i/>
          <w:szCs w:val="22"/>
          <w:lang w:val="fr-FR"/>
        </w:rPr>
        <w:t>] [“</w:t>
      </w:r>
      <w:r w:rsidR="0042254B">
        <w:rPr>
          <w:b/>
          <w:i/>
          <w:szCs w:val="22"/>
          <w:lang w:val="fr-FR"/>
        </w:rPr>
        <w:t>pour l’exercice clôturé le JJ/MM/AAAA</w:t>
      </w:r>
      <w:r w:rsidR="00E80257" w:rsidRPr="00761DC1">
        <w:rPr>
          <w:b/>
          <w:i/>
          <w:szCs w:val="22"/>
          <w:lang w:val="fr-FR"/>
        </w:rPr>
        <w:t xml:space="preserve">” </w:t>
      </w:r>
      <w:r w:rsidR="0042254B">
        <w:rPr>
          <w:b/>
          <w:i/>
          <w:szCs w:val="22"/>
          <w:lang w:val="fr-FR"/>
        </w:rPr>
        <w:t>ou</w:t>
      </w:r>
      <w:r w:rsidR="00E80257" w:rsidRPr="00761DC1">
        <w:rPr>
          <w:b/>
          <w:i/>
          <w:szCs w:val="22"/>
          <w:lang w:val="fr-FR"/>
        </w:rPr>
        <w:t xml:space="preserve"> “</w:t>
      </w:r>
      <w:r w:rsidR="0042254B">
        <w:rPr>
          <w:b/>
          <w:i/>
          <w:szCs w:val="22"/>
          <w:lang w:val="fr-FR"/>
        </w:rPr>
        <w:t>à la fin du trimestre clôturé le JJ/MM/AAAA</w:t>
      </w:r>
      <w:r w:rsidR="00E80257" w:rsidRPr="00761DC1">
        <w:rPr>
          <w:b/>
          <w:i/>
          <w:szCs w:val="22"/>
          <w:lang w:val="fr-FR"/>
        </w:rPr>
        <w:t xml:space="preserve">”, </w:t>
      </w:r>
      <w:r w:rsidR="0042254B">
        <w:rPr>
          <w:b/>
          <w:i/>
          <w:szCs w:val="22"/>
          <w:lang w:val="fr-FR"/>
        </w:rPr>
        <w:t>selon le cas</w:t>
      </w:r>
      <w:r w:rsidR="00E80257" w:rsidRPr="00761DC1">
        <w:rPr>
          <w:b/>
          <w:i/>
          <w:szCs w:val="22"/>
          <w:lang w:val="fr-FR"/>
        </w:rPr>
        <w:t>]</w:t>
      </w:r>
    </w:p>
    <w:p w14:paraId="101B9250" w14:textId="77777777" w:rsidR="00E80257" w:rsidRPr="00761DC1" w:rsidRDefault="00E80257" w:rsidP="00AF0530">
      <w:pPr>
        <w:jc w:val="both"/>
        <w:rPr>
          <w:b/>
          <w:iCs/>
          <w:szCs w:val="22"/>
          <w:lang w:val="fr-FR"/>
        </w:rPr>
      </w:pPr>
    </w:p>
    <w:p w14:paraId="22B9A108" w14:textId="675EDC4C" w:rsidR="00426E9B" w:rsidRPr="00121304" w:rsidRDefault="001E1308" w:rsidP="00AF0530">
      <w:pPr>
        <w:jc w:val="both"/>
        <w:rPr>
          <w:rFonts w:eastAsia="MingLiU"/>
          <w:b/>
          <w:i/>
          <w:szCs w:val="22"/>
          <w:lang w:val="fr-FR"/>
        </w:rPr>
      </w:pPr>
      <w:r w:rsidRPr="00121304">
        <w:rPr>
          <w:b/>
          <w:i/>
          <w:szCs w:val="22"/>
          <w:lang w:val="fr-FR"/>
        </w:rPr>
        <w:t>Mission</w:t>
      </w:r>
    </w:p>
    <w:p w14:paraId="0A22B2B6" w14:textId="77777777" w:rsidR="00FD7752" w:rsidRPr="00121304" w:rsidRDefault="00FD7752" w:rsidP="00AF0530">
      <w:pPr>
        <w:jc w:val="both"/>
        <w:rPr>
          <w:rFonts w:eastAsia="MingLiU"/>
          <w:szCs w:val="22"/>
          <w:lang w:val="fr-FR"/>
        </w:rPr>
      </w:pPr>
    </w:p>
    <w:p w14:paraId="087094E2" w14:textId="313305AF" w:rsidR="00631C4A" w:rsidRPr="00D4477D" w:rsidRDefault="00DE6B70" w:rsidP="00AF0530">
      <w:pPr>
        <w:jc w:val="both"/>
        <w:rPr>
          <w:rFonts w:eastAsia="MingLiU"/>
          <w:szCs w:val="22"/>
          <w:lang w:val="fr-FR"/>
        </w:rPr>
      </w:pPr>
      <w:r w:rsidRPr="00D4477D">
        <w:rPr>
          <w:rFonts w:eastAsia="MingLiU"/>
          <w:szCs w:val="22"/>
          <w:lang w:val="fr-FR"/>
        </w:rPr>
        <w:t xml:space="preserve">Dans le cadre de notre contrôle des tableaux </w:t>
      </w:r>
      <w:r w:rsidR="004564CE" w:rsidRPr="00D4477D">
        <w:rPr>
          <w:rFonts w:eastAsia="MingLiU"/>
          <w:szCs w:val="22"/>
          <w:lang w:val="fr-FR"/>
        </w:rPr>
        <w:t>CIS_SUP_2</w:t>
      </w:r>
      <w:r w:rsidR="000760E1" w:rsidRPr="00D4477D">
        <w:rPr>
          <w:rFonts w:eastAsia="MingLiU"/>
          <w:szCs w:val="22"/>
          <w:lang w:val="fr-FR"/>
        </w:rPr>
        <w:t xml:space="preserve"> </w:t>
      </w:r>
      <w:r w:rsidRPr="00D4477D">
        <w:rPr>
          <w:rFonts w:eastAsia="MingLiU"/>
          <w:szCs w:val="22"/>
          <w:lang w:val="fr-FR"/>
        </w:rPr>
        <w:t xml:space="preserve">et les données financières </w:t>
      </w:r>
      <w:r w:rsidR="008C4D25">
        <w:rPr>
          <w:rFonts w:eastAsia="MingLiU"/>
          <w:szCs w:val="22"/>
          <w:lang w:val="fr-FR"/>
        </w:rPr>
        <w:t xml:space="preserve">reprises </w:t>
      </w:r>
      <w:r w:rsidRPr="00D4477D">
        <w:rPr>
          <w:rFonts w:eastAsia="MingLiU"/>
          <w:szCs w:val="22"/>
          <w:lang w:val="fr-FR"/>
        </w:rPr>
        <w:t>dans les table</w:t>
      </w:r>
      <w:r w:rsidR="009C219A">
        <w:rPr>
          <w:rFonts w:eastAsia="MingLiU"/>
          <w:szCs w:val="22"/>
          <w:lang w:val="fr-FR"/>
        </w:rPr>
        <w:t>aux</w:t>
      </w:r>
      <w:r w:rsidRPr="00D4477D">
        <w:rPr>
          <w:rFonts w:eastAsia="MingLiU"/>
          <w:szCs w:val="22"/>
          <w:lang w:val="fr-FR"/>
        </w:rPr>
        <w:t xml:space="preserve"> A</w:t>
      </w:r>
      <w:r w:rsidR="00FD7752" w:rsidRPr="00D4477D">
        <w:rPr>
          <w:rFonts w:eastAsia="MingLiU"/>
          <w:szCs w:val="22"/>
          <w:lang w:val="fr-FR"/>
        </w:rPr>
        <w:t xml:space="preserve">IF </w:t>
      </w:r>
      <w:r w:rsidRPr="00D4477D">
        <w:rPr>
          <w:rFonts w:eastAsia="MingLiU"/>
          <w:szCs w:val="22"/>
          <w:lang w:val="fr-FR"/>
        </w:rPr>
        <w:t>et</w:t>
      </w:r>
      <w:r w:rsidR="00FD7752" w:rsidRPr="00D4477D">
        <w:rPr>
          <w:rFonts w:eastAsia="MingLiU"/>
          <w:szCs w:val="22"/>
          <w:lang w:val="fr-FR"/>
        </w:rPr>
        <w:t xml:space="preserve"> CIS_SUP1 </w:t>
      </w:r>
      <w:r w:rsidR="00D4477D" w:rsidRPr="00D4477D">
        <w:rPr>
          <w:rFonts w:eastAsia="MingLiU"/>
          <w:szCs w:val="22"/>
          <w:lang w:val="fr-FR"/>
        </w:rPr>
        <w:t>de</w:t>
      </w:r>
      <w:r w:rsidR="00D4477D">
        <w:rPr>
          <w:rFonts w:eastAsia="MingLiU"/>
          <w:szCs w:val="22"/>
          <w:lang w:val="fr-FR"/>
        </w:rPr>
        <w:t xml:space="preserve"> </w:t>
      </w:r>
      <w:r w:rsidR="00E80257" w:rsidRPr="00D4477D">
        <w:rPr>
          <w:rFonts w:eastAsia="MingLiU"/>
          <w:szCs w:val="22"/>
          <w:lang w:val="fr-FR"/>
        </w:rPr>
        <w:t>[</w:t>
      </w:r>
      <w:r w:rsidR="00E80257" w:rsidRPr="00D4477D">
        <w:rPr>
          <w:rFonts w:eastAsia="MingLiU"/>
          <w:i/>
          <w:szCs w:val="22"/>
          <w:lang w:val="fr-FR"/>
        </w:rPr>
        <w:t>identificati</w:t>
      </w:r>
      <w:r w:rsidR="00D4477D">
        <w:rPr>
          <w:rFonts w:eastAsia="MingLiU"/>
          <w:i/>
          <w:szCs w:val="22"/>
          <w:lang w:val="fr-FR"/>
        </w:rPr>
        <w:t>on de l’institution</w:t>
      </w:r>
      <w:r w:rsidR="00E80257" w:rsidRPr="00D4477D">
        <w:rPr>
          <w:rFonts w:eastAsia="MingLiU"/>
          <w:szCs w:val="22"/>
          <w:lang w:val="fr-FR"/>
        </w:rPr>
        <w:t xml:space="preserve">] </w:t>
      </w:r>
      <w:r w:rsidR="00D4477D">
        <w:rPr>
          <w:rFonts w:eastAsia="MingLiU"/>
          <w:szCs w:val="22"/>
          <w:lang w:val="fr-FR"/>
        </w:rPr>
        <w:t>arrêtés au</w:t>
      </w:r>
      <w:r w:rsidR="00E80257" w:rsidRPr="00D4477D">
        <w:rPr>
          <w:rFonts w:eastAsia="MingLiU"/>
          <w:szCs w:val="22"/>
          <w:lang w:val="fr-FR"/>
        </w:rPr>
        <w:t xml:space="preserve"> [</w:t>
      </w:r>
      <w:r w:rsidR="00D4477D" w:rsidRPr="00D4477D">
        <w:rPr>
          <w:rFonts w:eastAsia="MingLiU"/>
          <w:i/>
          <w:iCs/>
          <w:szCs w:val="22"/>
          <w:lang w:val="fr-FR"/>
        </w:rPr>
        <w:t>JJ</w:t>
      </w:r>
      <w:r w:rsidR="00E80257" w:rsidRPr="00D4477D">
        <w:rPr>
          <w:rFonts w:eastAsia="MingLiU"/>
          <w:i/>
          <w:szCs w:val="22"/>
          <w:lang w:val="fr-FR"/>
        </w:rPr>
        <w:t>/MM/</w:t>
      </w:r>
      <w:r w:rsidR="00D4477D">
        <w:rPr>
          <w:rFonts w:eastAsia="MingLiU"/>
          <w:i/>
          <w:szCs w:val="22"/>
          <w:lang w:val="fr-FR"/>
        </w:rPr>
        <w:t>AAAA</w:t>
      </w:r>
      <w:r w:rsidR="00E80257" w:rsidRPr="00D4477D">
        <w:rPr>
          <w:rFonts w:eastAsia="MingLiU"/>
          <w:szCs w:val="22"/>
          <w:lang w:val="fr-FR"/>
        </w:rPr>
        <w:t>]</w:t>
      </w:r>
      <w:r w:rsidR="00FD7752" w:rsidRPr="00D4477D">
        <w:rPr>
          <w:rFonts w:eastAsia="MingLiU"/>
          <w:szCs w:val="22"/>
          <w:lang w:val="fr-FR"/>
        </w:rPr>
        <w:t>,</w:t>
      </w:r>
      <w:r w:rsidR="00E80257" w:rsidRPr="00D4477D">
        <w:rPr>
          <w:rFonts w:eastAsia="MingLiU"/>
          <w:szCs w:val="22"/>
          <w:lang w:val="fr-FR"/>
        </w:rPr>
        <w:t xml:space="preserve"> </w:t>
      </w:r>
      <w:r w:rsidR="00D4477D">
        <w:rPr>
          <w:rFonts w:eastAsia="MingLiU"/>
          <w:szCs w:val="22"/>
          <w:lang w:val="fr-FR"/>
        </w:rPr>
        <w:t>nous vous présentons notre rapport du commissaire</w:t>
      </w:r>
      <w:r w:rsidR="00E80257" w:rsidRPr="00D4477D">
        <w:rPr>
          <w:rFonts w:eastAsia="MingLiU"/>
          <w:szCs w:val="22"/>
          <w:lang w:val="fr-FR"/>
        </w:rPr>
        <w:t>.</w:t>
      </w:r>
    </w:p>
    <w:p w14:paraId="0ECB99F9" w14:textId="77777777" w:rsidR="00631C4A" w:rsidRPr="00D4477D" w:rsidRDefault="00631C4A" w:rsidP="00AF0530">
      <w:pPr>
        <w:jc w:val="both"/>
        <w:rPr>
          <w:rFonts w:eastAsia="MingLiU"/>
          <w:szCs w:val="22"/>
          <w:lang w:val="fr-FR"/>
        </w:rPr>
      </w:pPr>
    </w:p>
    <w:p w14:paraId="44E682EA" w14:textId="512A016A" w:rsidR="00FD7752" w:rsidRPr="00D4477D" w:rsidRDefault="00D4477D" w:rsidP="00AF0530">
      <w:pPr>
        <w:jc w:val="both"/>
        <w:rPr>
          <w:rFonts w:eastAsia="MingLiU"/>
          <w:szCs w:val="22"/>
          <w:lang w:val="fr-FR"/>
        </w:rPr>
      </w:pPr>
      <w:r w:rsidRPr="00D4477D">
        <w:rPr>
          <w:rFonts w:eastAsia="MingLiU"/>
          <w:szCs w:val="22"/>
          <w:lang w:val="fr-FR"/>
        </w:rPr>
        <w:t>Conformément à la circulaire</w:t>
      </w:r>
      <w:r w:rsidR="00FD7752" w:rsidRPr="00D4477D">
        <w:rPr>
          <w:rFonts w:eastAsia="MingLiU"/>
          <w:szCs w:val="22"/>
          <w:lang w:val="fr-FR"/>
        </w:rPr>
        <w:t xml:space="preserve"> FSMA 2022_08, </w:t>
      </w:r>
      <w:r w:rsidRPr="00D4477D">
        <w:rPr>
          <w:rFonts w:eastAsia="MingLiU"/>
          <w:szCs w:val="22"/>
          <w:lang w:val="fr-FR"/>
        </w:rPr>
        <w:t>nous avons co</w:t>
      </w:r>
      <w:r>
        <w:rPr>
          <w:rFonts w:eastAsia="MingLiU"/>
          <w:szCs w:val="22"/>
          <w:lang w:val="fr-FR"/>
        </w:rPr>
        <w:t xml:space="preserve">ntrôlé les informations suivantes </w:t>
      </w:r>
      <w:r w:rsidR="00BA0D7A">
        <w:rPr>
          <w:rFonts w:eastAsia="MingLiU"/>
          <w:szCs w:val="22"/>
          <w:lang w:val="fr-FR"/>
        </w:rPr>
        <w:t>incluses dans les statistiques</w:t>
      </w:r>
      <w:r w:rsidR="00060816" w:rsidRPr="00D4477D">
        <w:rPr>
          <w:rFonts w:eastAsia="MingLiU"/>
          <w:szCs w:val="22"/>
          <w:lang w:val="fr-FR"/>
        </w:rPr>
        <w:t xml:space="preserve"> CIS_SUP_2, AIF en CIS_SUP_1 </w:t>
      </w:r>
      <w:r w:rsidR="00D03F30" w:rsidRPr="00D4477D">
        <w:rPr>
          <w:rFonts w:eastAsia="MingLiU"/>
          <w:szCs w:val="22"/>
          <w:lang w:val="fr-FR"/>
        </w:rPr>
        <w:t>(</w:t>
      </w:r>
      <w:r w:rsidR="00BA0D7A">
        <w:rPr>
          <w:rFonts w:eastAsia="MingLiU"/>
          <w:szCs w:val="22"/>
          <w:lang w:val="fr-FR"/>
        </w:rPr>
        <w:t>ci-après</w:t>
      </w:r>
      <w:r w:rsidR="00D03F30" w:rsidRPr="00D4477D">
        <w:rPr>
          <w:rFonts w:eastAsia="MingLiU"/>
          <w:szCs w:val="22"/>
          <w:lang w:val="fr-FR"/>
        </w:rPr>
        <w:t xml:space="preserve"> </w:t>
      </w:r>
      <w:r w:rsidR="00D03F30" w:rsidRPr="00D4477D">
        <w:rPr>
          <w:rFonts w:eastAsia="MingLiU"/>
          <w:i/>
          <w:iCs/>
          <w:szCs w:val="22"/>
          <w:lang w:val="fr-FR"/>
        </w:rPr>
        <w:t>“</w:t>
      </w:r>
      <w:r w:rsidR="00BA0D7A">
        <w:rPr>
          <w:rFonts w:eastAsia="MingLiU"/>
          <w:i/>
          <w:iCs/>
          <w:szCs w:val="22"/>
          <w:lang w:val="fr-FR"/>
        </w:rPr>
        <w:t>les données financières</w:t>
      </w:r>
      <w:r w:rsidR="00D03F30" w:rsidRPr="00D4477D">
        <w:rPr>
          <w:rFonts w:eastAsia="MingLiU"/>
          <w:i/>
          <w:iCs/>
          <w:szCs w:val="22"/>
          <w:lang w:val="fr-FR"/>
        </w:rPr>
        <w:t>”</w:t>
      </w:r>
      <w:r w:rsidR="00D03F30" w:rsidRPr="00D4477D">
        <w:rPr>
          <w:rFonts w:eastAsia="MingLiU"/>
          <w:szCs w:val="22"/>
          <w:lang w:val="fr-FR"/>
        </w:rPr>
        <w:t>)</w:t>
      </w:r>
      <w:r w:rsidR="00A94973">
        <w:rPr>
          <w:rFonts w:eastAsia="MingLiU"/>
          <w:szCs w:val="22"/>
          <w:lang w:val="fr-FR"/>
        </w:rPr>
        <w:t> :</w:t>
      </w:r>
      <w:r w:rsidR="00FD7752" w:rsidRPr="00D4477D">
        <w:rPr>
          <w:rFonts w:eastAsia="MingLiU"/>
          <w:szCs w:val="22"/>
          <w:lang w:val="fr-FR"/>
        </w:rPr>
        <w:t xml:space="preserve"> </w:t>
      </w:r>
    </w:p>
    <w:p w14:paraId="5EC8992C" w14:textId="77777777" w:rsidR="00FD7752" w:rsidRPr="00D4477D" w:rsidRDefault="00FD7752" w:rsidP="00AF0530">
      <w:pPr>
        <w:jc w:val="both"/>
        <w:rPr>
          <w:rFonts w:eastAsia="MingLiU"/>
          <w:szCs w:val="22"/>
          <w:lang w:val="fr-FR"/>
        </w:rPr>
      </w:pPr>
    </w:p>
    <w:p w14:paraId="6FD3925D" w14:textId="5F9E230F" w:rsidR="00FD7752" w:rsidRPr="009C22B0" w:rsidRDefault="00E94EB9" w:rsidP="00FD7752">
      <w:pPr>
        <w:pStyle w:val="ListParagraph"/>
        <w:numPr>
          <w:ilvl w:val="0"/>
          <w:numId w:val="14"/>
        </w:numPr>
        <w:spacing w:after="260"/>
        <w:ind w:left="357" w:hanging="357"/>
        <w:jc w:val="both"/>
        <w:rPr>
          <w:rFonts w:cstheme="minorHAnsi"/>
          <w:lang w:val="gsw-FR"/>
        </w:rPr>
      </w:pPr>
      <w:r w:rsidRPr="00E94EB9">
        <w:rPr>
          <w:rFonts w:eastAsia="MingLiU"/>
          <w:szCs w:val="22"/>
          <w:lang w:val="fr-FR"/>
        </w:rPr>
        <w:t>l’actif net total (NAV) et les actifs sous gestion (AUM)</w:t>
      </w:r>
      <w:r w:rsidR="00FD7752" w:rsidRPr="009C22B0">
        <w:rPr>
          <w:rFonts w:cstheme="minorHAnsi"/>
          <w:lang w:val="gsw-FR"/>
        </w:rPr>
        <w:t>;</w:t>
      </w:r>
    </w:p>
    <w:p w14:paraId="161A3D15" w14:textId="0FD8271F" w:rsidR="00E94EB9" w:rsidRPr="00E94EB9" w:rsidRDefault="00E94EB9" w:rsidP="00FD7752">
      <w:pPr>
        <w:pStyle w:val="ListParagraph"/>
        <w:numPr>
          <w:ilvl w:val="0"/>
          <w:numId w:val="14"/>
        </w:numPr>
        <w:spacing w:after="260"/>
        <w:ind w:left="357" w:hanging="357"/>
        <w:jc w:val="both"/>
        <w:rPr>
          <w:rFonts w:cstheme="minorHAnsi"/>
          <w:lang w:val="gsw-FR"/>
        </w:rPr>
      </w:pPr>
      <w:r w:rsidRPr="00E94EB9">
        <w:rPr>
          <w:rFonts w:cstheme="minorHAnsi"/>
          <w:lang w:val="gsw-FR"/>
        </w:rPr>
        <w:t>les données sur les expositions, par exemple à des catégories d'actifs, des marchés, des</w:t>
      </w:r>
      <w:r>
        <w:rPr>
          <w:rFonts w:cstheme="minorHAnsi"/>
          <w:lang w:val="gsw-FR"/>
        </w:rPr>
        <w:t xml:space="preserve"> </w:t>
      </w:r>
      <w:r w:rsidRPr="00E94EB9">
        <w:rPr>
          <w:rFonts w:cstheme="minorHAnsi"/>
          <w:lang w:val="gsw-FR"/>
        </w:rPr>
        <w:t>instruments, des régions géographiques, des devises et des contreparties déterminés</w:t>
      </w:r>
      <w:r w:rsidR="00A94973">
        <w:rPr>
          <w:rFonts w:cstheme="minorHAnsi"/>
          <w:lang w:val="gsw-FR"/>
        </w:rPr>
        <w:t>;</w:t>
      </w:r>
    </w:p>
    <w:p w14:paraId="5DF0782D" w14:textId="7597CBF1" w:rsidR="00FD7752" w:rsidRPr="009C22B0" w:rsidRDefault="00E94EB9" w:rsidP="00FD7752">
      <w:pPr>
        <w:pStyle w:val="ListParagraph"/>
        <w:numPr>
          <w:ilvl w:val="0"/>
          <w:numId w:val="14"/>
        </w:numPr>
        <w:spacing w:after="260"/>
        <w:ind w:left="357" w:hanging="357"/>
        <w:jc w:val="both"/>
        <w:rPr>
          <w:rFonts w:cstheme="minorHAnsi"/>
          <w:lang w:val="gsw-FR"/>
        </w:rPr>
      </w:pPr>
      <w:r w:rsidRPr="00E94EB9">
        <w:rPr>
          <w:rFonts w:eastAsia="MingLiU"/>
          <w:szCs w:val="22"/>
          <w:lang w:val="gsw-FR"/>
        </w:rPr>
        <w:t xml:space="preserve">les données sur les emprunts, y compris les emprunts intégrés à des instruments financiers, et le </w:t>
      </w:r>
      <w:r w:rsidRPr="00E94EB9">
        <w:rPr>
          <w:rFonts w:eastAsia="MingLiU"/>
          <w:szCs w:val="22"/>
          <w:lang w:val="fr-FR"/>
        </w:rPr>
        <w:t>financement de la liquidité (dont les lignes de crédit)</w:t>
      </w:r>
      <w:r w:rsidR="00FD7752" w:rsidRPr="009C22B0">
        <w:rPr>
          <w:lang w:val="gsw-FR"/>
        </w:rPr>
        <w:t>;</w:t>
      </w:r>
    </w:p>
    <w:p w14:paraId="6D3F349B" w14:textId="24903638" w:rsidR="00FD7752" w:rsidRPr="009C22B0" w:rsidRDefault="00E94EB9" w:rsidP="00FD7752">
      <w:pPr>
        <w:pStyle w:val="ListParagraph"/>
        <w:numPr>
          <w:ilvl w:val="0"/>
          <w:numId w:val="14"/>
        </w:numPr>
        <w:spacing w:after="260"/>
        <w:ind w:left="357" w:hanging="357"/>
        <w:jc w:val="both"/>
        <w:rPr>
          <w:rFonts w:cstheme="minorHAnsi"/>
          <w:lang w:val="gsw-FR"/>
        </w:rPr>
      </w:pPr>
      <w:r w:rsidRPr="00E94EB9">
        <w:rPr>
          <w:rFonts w:eastAsia="MingLiU"/>
          <w:szCs w:val="22"/>
          <w:lang w:val="fr-FR"/>
        </w:rPr>
        <w:t>le nombre de positions ouvertes</w:t>
      </w:r>
      <w:r w:rsidR="00FD7752" w:rsidRPr="009C22B0">
        <w:rPr>
          <w:rFonts w:cstheme="minorHAnsi"/>
          <w:lang w:val="gsw-FR"/>
        </w:rPr>
        <w:t>;</w:t>
      </w:r>
    </w:p>
    <w:p w14:paraId="2CD20B7B" w14:textId="74498094" w:rsidR="00FD7752" w:rsidRPr="009C22B0" w:rsidRDefault="00E94EB9" w:rsidP="00FD7752">
      <w:pPr>
        <w:pStyle w:val="ListParagraph"/>
        <w:numPr>
          <w:ilvl w:val="0"/>
          <w:numId w:val="14"/>
        </w:numPr>
        <w:spacing w:after="260"/>
        <w:ind w:left="357" w:hanging="357"/>
        <w:jc w:val="both"/>
        <w:rPr>
          <w:rFonts w:cstheme="minorHAnsi"/>
          <w:lang w:val="gsw-FR"/>
        </w:rPr>
      </w:pPr>
      <w:r w:rsidRPr="00E94EB9">
        <w:rPr>
          <w:rFonts w:eastAsia="MingLiU"/>
          <w:szCs w:val="22"/>
          <w:lang w:val="fr-FR"/>
        </w:rPr>
        <w:t>les données sur les rendements bruts et nets et les changements dans l’actif net</w:t>
      </w:r>
      <w:r w:rsidR="00FD7752" w:rsidRPr="009C22B0">
        <w:rPr>
          <w:rFonts w:cstheme="minorHAnsi"/>
          <w:lang w:val="gsw-FR"/>
        </w:rPr>
        <w:t>;</w:t>
      </w:r>
    </w:p>
    <w:p w14:paraId="110F3A30" w14:textId="30D03915" w:rsidR="00FD7752" w:rsidRPr="009C22B0" w:rsidRDefault="00E94EB9" w:rsidP="00FD7752">
      <w:pPr>
        <w:pStyle w:val="ListParagraph"/>
        <w:numPr>
          <w:ilvl w:val="0"/>
          <w:numId w:val="14"/>
        </w:numPr>
        <w:spacing w:after="260"/>
        <w:ind w:left="357" w:hanging="357"/>
        <w:jc w:val="both"/>
        <w:rPr>
          <w:rFonts w:cstheme="minorHAnsi"/>
          <w:lang w:val="gsw-FR"/>
        </w:rPr>
      </w:pPr>
      <w:r w:rsidRPr="00E94EB9">
        <w:rPr>
          <w:rFonts w:eastAsia="MingLiU"/>
          <w:szCs w:val="22"/>
          <w:lang w:val="fr-FR"/>
        </w:rPr>
        <w:t>les données sur les souscriptions et les rachats</w:t>
      </w:r>
      <w:r w:rsidR="00FD7752" w:rsidRPr="009C22B0">
        <w:rPr>
          <w:rFonts w:cstheme="minorHAnsi"/>
          <w:lang w:val="gsw-FR"/>
        </w:rPr>
        <w:t>;</w:t>
      </w:r>
    </w:p>
    <w:p w14:paraId="10380860" w14:textId="76804A7B" w:rsidR="00FD7752" w:rsidRPr="009C22B0" w:rsidRDefault="00CF083B" w:rsidP="00FD7752">
      <w:pPr>
        <w:pStyle w:val="ListParagraph"/>
        <w:numPr>
          <w:ilvl w:val="0"/>
          <w:numId w:val="14"/>
        </w:numPr>
        <w:spacing w:after="260"/>
        <w:ind w:left="357" w:hanging="357"/>
        <w:jc w:val="both"/>
        <w:rPr>
          <w:rFonts w:cstheme="minorHAnsi"/>
          <w:lang w:val="gsw-FR"/>
        </w:rPr>
      </w:pPr>
      <w:r w:rsidRPr="00CF083B">
        <w:rPr>
          <w:rFonts w:eastAsia="MingLiU"/>
          <w:szCs w:val="22"/>
          <w:lang w:val="gsw-FR"/>
        </w:rPr>
        <w:t>les données sur la valeur des collatéraux et autres soutiens de crédit que l’OPC ou le compartiment</w:t>
      </w:r>
      <w:r w:rsidRPr="009C22B0">
        <w:rPr>
          <w:rFonts w:cstheme="minorHAnsi"/>
          <w:lang w:val="gsw-FR"/>
        </w:rPr>
        <w:t xml:space="preserve"> </w:t>
      </w:r>
      <w:r w:rsidRPr="00CF083B">
        <w:rPr>
          <w:rFonts w:eastAsia="MingLiU"/>
          <w:szCs w:val="22"/>
          <w:lang w:val="fr-FR"/>
        </w:rPr>
        <w:t>a reçus ou déposés</w:t>
      </w:r>
      <w:r w:rsidR="00FD7752" w:rsidRPr="009C22B0">
        <w:rPr>
          <w:rFonts w:cstheme="minorHAnsi"/>
          <w:lang w:val="gsw-FR"/>
        </w:rPr>
        <w:t>;</w:t>
      </w:r>
    </w:p>
    <w:p w14:paraId="752A39AC" w14:textId="789286EA" w:rsidR="00D03F30" w:rsidRPr="00CF083B" w:rsidRDefault="00CF083B" w:rsidP="00FD7752">
      <w:pPr>
        <w:pStyle w:val="ListParagraph"/>
        <w:numPr>
          <w:ilvl w:val="0"/>
          <w:numId w:val="14"/>
        </w:numPr>
        <w:spacing w:after="260"/>
        <w:ind w:left="357" w:hanging="357"/>
        <w:jc w:val="both"/>
        <w:rPr>
          <w:rFonts w:eastAsia="MingLiU"/>
          <w:szCs w:val="22"/>
          <w:lang w:val="fr-FR"/>
        </w:rPr>
      </w:pPr>
      <w:r w:rsidRPr="00E94EB9">
        <w:rPr>
          <w:rFonts w:eastAsia="MingLiU"/>
          <w:szCs w:val="22"/>
          <w:lang w:val="fr-FR"/>
        </w:rPr>
        <w:t>les données sur les prêts de titres</w:t>
      </w:r>
      <w:r w:rsidR="00FD7752" w:rsidRPr="00D32100">
        <w:rPr>
          <w:rFonts w:cstheme="minorHAnsi"/>
          <w:lang w:val="gsw-FR"/>
        </w:rPr>
        <w:t>;</w:t>
      </w:r>
      <w:r w:rsidR="00D03F30" w:rsidRPr="00082474">
        <w:rPr>
          <w:rFonts w:cstheme="minorHAnsi"/>
          <w:lang w:val="gsw-FR"/>
        </w:rPr>
        <w:t xml:space="preserve"> e</w:t>
      </w:r>
      <w:r>
        <w:rPr>
          <w:rFonts w:cstheme="minorHAnsi"/>
          <w:lang w:val="gsw-FR"/>
        </w:rPr>
        <w:t>t</w:t>
      </w:r>
    </w:p>
    <w:p w14:paraId="0CC8B825" w14:textId="19053A6B" w:rsidR="00E80257" w:rsidRPr="00CF083B" w:rsidRDefault="00CF083B" w:rsidP="00E335AF">
      <w:pPr>
        <w:pStyle w:val="ListParagraph"/>
        <w:numPr>
          <w:ilvl w:val="0"/>
          <w:numId w:val="14"/>
        </w:numPr>
        <w:spacing w:after="260"/>
        <w:ind w:left="357" w:hanging="357"/>
        <w:jc w:val="both"/>
        <w:rPr>
          <w:rFonts w:eastAsia="MingLiU"/>
          <w:szCs w:val="22"/>
          <w:lang w:val="fr-FR"/>
        </w:rPr>
      </w:pPr>
      <w:r>
        <w:rPr>
          <w:rFonts w:cstheme="minorHAnsi"/>
          <w:lang w:val="gsw-FR"/>
        </w:rPr>
        <w:t>les données du tableau</w:t>
      </w:r>
      <w:r w:rsidR="00FD7752" w:rsidRPr="00D32100">
        <w:rPr>
          <w:rFonts w:cstheme="minorHAnsi"/>
          <w:lang w:val="gsw-FR"/>
        </w:rPr>
        <w:t xml:space="preserve"> CIS_SUP_2.</w:t>
      </w:r>
      <w:r w:rsidR="00FD7752" w:rsidRPr="00CF083B">
        <w:rPr>
          <w:rFonts w:eastAsia="MingLiU"/>
          <w:szCs w:val="22"/>
          <w:lang w:val="fr-FR"/>
        </w:rPr>
        <w:t xml:space="preserve"> </w:t>
      </w:r>
    </w:p>
    <w:p w14:paraId="3608A9CF" w14:textId="77777777" w:rsidR="00E80257" w:rsidRPr="00E94EB9" w:rsidRDefault="00E80257" w:rsidP="00AF0530">
      <w:pPr>
        <w:jc w:val="both"/>
        <w:rPr>
          <w:b/>
          <w:i/>
          <w:szCs w:val="22"/>
          <w:lang w:val="fr-FR"/>
        </w:rPr>
      </w:pPr>
    </w:p>
    <w:p w14:paraId="0567338F" w14:textId="3B9D953A" w:rsidR="00E80257" w:rsidRPr="00850609" w:rsidRDefault="00850609" w:rsidP="00AF0530">
      <w:pPr>
        <w:jc w:val="both"/>
        <w:rPr>
          <w:rFonts w:eastAsia="MingLiU"/>
          <w:b/>
          <w:i/>
          <w:szCs w:val="22"/>
          <w:lang w:val="fr-FR"/>
        </w:rPr>
      </w:pPr>
      <w:r w:rsidRPr="00850609">
        <w:rPr>
          <w:b/>
          <w:i/>
          <w:szCs w:val="22"/>
          <w:lang w:val="fr-FR"/>
        </w:rPr>
        <w:t>Opinion sans réserve</w:t>
      </w:r>
      <w:r w:rsidR="00E80257" w:rsidRPr="00850609">
        <w:rPr>
          <w:rFonts w:eastAsia="MingLiU"/>
          <w:b/>
          <w:i/>
          <w:szCs w:val="22"/>
          <w:lang w:val="fr-FR"/>
        </w:rPr>
        <w:t xml:space="preserve"> [</w:t>
      </w:r>
      <w:r w:rsidRPr="00850609">
        <w:rPr>
          <w:rFonts w:eastAsia="MingLiU"/>
          <w:b/>
          <w:i/>
          <w:szCs w:val="22"/>
          <w:lang w:val="fr-FR"/>
        </w:rPr>
        <w:t>ou avec réserve(s)</w:t>
      </w:r>
      <w:r w:rsidR="00E80257" w:rsidRPr="00850609">
        <w:rPr>
          <w:rFonts w:eastAsia="MingLiU"/>
          <w:b/>
          <w:i/>
          <w:szCs w:val="22"/>
          <w:lang w:val="fr-FR"/>
        </w:rPr>
        <w:t xml:space="preserve">, </w:t>
      </w:r>
      <w:r w:rsidRPr="00850609">
        <w:rPr>
          <w:rFonts w:eastAsia="MingLiU"/>
          <w:b/>
          <w:i/>
          <w:szCs w:val="22"/>
          <w:lang w:val="fr-FR"/>
        </w:rPr>
        <w:t>le ca</w:t>
      </w:r>
      <w:r>
        <w:rPr>
          <w:rFonts w:eastAsia="MingLiU"/>
          <w:b/>
          <w:i/>
          <w:szCs w:val="22"/>
          <w:lang w:val="fr-FR"/>
        </w:rPr>
        <w:t>s échéant</w:t>
      </w:r>
      <w:r w:rsidR="00E80257" w:rsidRPr="00850609">
        <w:rPr>
          <w:rFonts w:eastAsia="MingLiU"/>
          <w:b/>
          <w:i/>
          <w:szCs w:val="22"/>
          <w:lang w:val="fr-FR"/>
        </w:rPr>
        <w:t>]</w:t>
      </w:r>
    </w:p>
    <w:p w14:paraId="6331A1C1" w14:textId="77777777" w:rsidR="00E80257" w:rsidRPr="00850609" w:rsidRDefault="00E80257" w:rsidP="00AF0530">
      <w:pPr>
        <w:jc w:val="both"/>
        <w:rPr>
          <w:b/>
          <w:i/>
          <w:szCs w:val="22"/>
          <w:lang w:val="fr-FR"/>
        </w:rPr>
      </w:pPr>
    </w:p>
    <w:p w14:paraId="02175AC9" w14:textId="276205F8" w:rsidR="00E80257" w:rsidRPr="00F06856" w:rsidRDefault="00850609" w:rsidP="00AF0530">
      <w:pPr>
        <w:jc w:val="both"/>
        <w:rPr>
          <w:szCs w:val="22"/>
          <w:lang w:val="fr-FR"/>
        </w:rPr>
      </w:pPr>
      <w:r w:rsidRPr="00F06856">
        <w:rPr>
          <w:szCs w:val="22"/>
          <w:lang w:val="fr-FR"/>
        </w:rPr>
        <w:t xml:space="preserve">A notre avis, les données financières incluses dans </w:t>
      </w:r>
      <w:r w:rsidR="00F06856" w:rsidRPr="00F06856">
        <w:rPr>
          <w:szCs w:val="22"/>
          <w:lang w:val="fr-FR"/>
        </w:rPr>
        <w:t xml:space="preserve">les statistiques arrêtés au </w:t>
      </w:r>
      <w:r w:rsidR="00E80257" w:rsidRPr="00F06856">
        <w:rPr>
          <w:i/>
          <w:szCs w:val="22"/>
          <w:lang w:val="fr-FR"/>
        </w:rPr>
        <w:t>[</w:t>
      </w:r>
      <w:r w:rsidR="00F06856" w:rsidRPr="00F06856">
        <w:rPr>
          <w:i/>
          <w:szCs w:val="22"/>
          <w:lang w:val="fr-FR"/>
        </w:rPr>
        <w:t>J</w:t>
      </w:r>
      <w:r w:rsidR="00F06856">
        <w:rPr>
          <w:i/>
          <w:szCs w:val="22"/>
          <w:lang w:val="fr-FR"/>
        </w:rPr>
        <w:t>J</w:t>
      </w:r>
      <w:r w:rsidR="00E80257" w:rsidRPr="00F06856">
        <w:rPr>
          <w:i/>
          <w:szCs w:val="22"/>
          <w:lang w:val="fr-FR"/>
        </w:rPr>
        <w:t>/MM/</w:t>
      </w:r>
      <w:r w:rsidR="00F06856">
        <w:rPr>
          <w:i/>
          <w:szCs w:val="22"/>
          <w:lang w:val="fr-FR"/>
        </w:rPr>
        <w:t>AAAA</w:t>
      </w:r>
      <w:r w:rsidR="00E80257" w:rsidRPr="00F06856">
        <w:rPr>
          <w:i/>
          <w:szCs w:val="22"/>
          <w:lang w:val="fr-FR"/>
        </w:rPr>
        <w:t>]</w:t>
      </w:r>
      <w:r w:rsidR="00E80257" w:rsidRPr="00F06856">
        <w:rPr>
          <w:szCs w:val="22"/>
          <w:lang w:val="fr-FR"/>
        </w:rPr>
        <w:t xml:space="preserve"> </w:t>
      </w:r>
      <w:r w:rsidR="00F06856">
        <w:rPr>
          <w:szCs w:val="22"/>
          <w:lang w:val="fr-FR"/>
        </w:rPr>
        <w:t>ont, sous tous égards significativement importants, été établies conformément aux dispositions en vigueur de la FSMA.</w:t>
      </w:r>
    </w:p>
    <w:p w14:paraId="55027330" w14:textId="77777777" w:rsidR="00E80257" w:rsidRPr="00F06856" w:rsidRDefault="00E80257" w:rsidP="00AF0530">
      <w:pPr>
        <w:jc w:val="both"/>
        <w:rPr>
          <w:szCs w:val="22"/>
          <w:lang w:val="fr-FR"/>
        </w:rPr>
      </w:pPr>
    </w:p>
    <w:p w14:paraId="5A09CBAF" w14:textId="14793BE8" w:rsidR="00E80257" w:rsidRPr="00405C88" w:rsidRDefault="00405C88" w:rsidP="00AF0530">
      <w:pPr>
        <w:jc w:val="both"/>
        <w:rPr>
          <w:rFonts w:eastAsia="MingLiU"/>
          <w:b/>
          <w:i/>
          <w:szCs w:val="22"/>
          <w:lang w:val="fr-FR"/>
        </w:rPr>
      </w:pPr>
      <w:r w:rsidRPr="00405C88">
        <w:rPr>
          <w:rFonts w:eastAsia="MingLiU"/>
          <w:b/>
          <w:i/>
          <w:szCs w:val="22"/>
          <w:lang w:val="fr-FR"/>
        </w:rPr>
        <w:t>Fondement de l’opinion</w:t>
      </w:r>
      <w:r w:rsidR="00E80257" w:rsidRPr="00405C88">
        <w:rPr>
          <w:rFonts w:eastAsia="MingLiU"/>
          <w:b/>
          <w:i/>
          <w:szCs w:val="22"/>
          <w:lang w:val="fr-FR"/>
        </w:rPr>
        <w:t xml:space="preserve"> [</w:t>
      </w:r>
      <w:r w:rsidRPr="00405C88">
        <w:rPr>
          <w:rFonts w:eastAsia="MingLiU"/>
          <w:b/>
          <w:i/>
          <w:szCs w:val="22"/>
          <w:lang w:val="fr-FR"/>
        </w:rPr>
        <w:t xml:space="preserve">avec réserve(s), le </w:t>
      </w:r>
      <w:r>
        <w:rPr>
          <w:rFonts w:eastAsia="MingLiU"/>
          <w:b/>
          <w:i/>
          <w:szCs w:val="22"/>
          <w:lang w:val="fr-FR"/>
        </w:rPr>
        <w:t>cas échéant</w:t>
      </w:r>
      <w:r w:rsidR="00E80257" w:rsidRPr="00405C88">
        <w:rPr>
          <w:rFonts w:eastAsia="MingLiU"/>
          <w:b/>
          <w:i/>
          <w:szCs w:val="22"/>
          <w:lang w:val="fr-FR"/>
        </w:rPr>
        <w:t>]</w:t>
      </w:r>
    </w:p>
    <w:p w14:paraId="44D7E1D9" w14:textId="77777777" w:rsidR="00E80257" w:rsidRPr="00405C88" w:rsidRDefault="00E80257" w:rsidP="00AF0530">
      <w:pPr>
        <w:jc w:val="both"/>
        <w:rPr>
          <w:szCs w:val="22"/>
          <w:lang w:val="fr-FR"/>
        </w:rPr>
      </w:pPr>
    </w:p>
    <w:p w14:paraId="2900238A" w14:textId="48998842" w:rsidR="00E80257" w:rsidRPr="00405C88" w:rsidRDefault="00E80257" w:rsidP="00AF0530">
      <w:pPr>
        <w:spacing w:line="240" w:lineRule="auto"/>
        <w:jc w:val="both"/>
        <w:rPr>
          <w:i/>
          <w:szCs w:val="22"/>
          <w:lang w:val="fr-FR"/>
        </w:rPr>
      </w:pPr>
      <w:r w:rsidRPr="00405C88">
        <w:rPr>
          <w:i/>
          <w:szCs w:val="22"/>
          <w:lang w:val="fr-FR"/>
        </w:rPr>
        <w:t>[</w:t>
      </w:r>
      <w:r w:rsidR="00405C88" w:rsidRPr="00405C88">
        <w:rPr>
          <w:i/>
          <w:szCs w:val="22"/>
          <w:lang w:val="fr-FR"/>
        </w:rPr>
        <w:t>Communiquer ici toutes les constatations qui peuvent conduire à une réserve, le cas échéant</w:t>
      </w:r>
      <w:r w:rsidRPr="00405C88">
        <w:rPr>
          <w:i/>
          <w:szCs w:val="22"/>
          <w:lang w:val="fr-FR"/>
        </w:rPr>
        <w:t>]</w:t>
      </w:r>
    </w:p>
    <w:p w14:paraId="05603995" w14:textId="77777777" w:rsidR="00E80257" w:rsidRPr="00405C88" w:rsidRDefault="00E80257" w:rsidP="00AF0530">
      <w:pPr>
        <w:spacing w:line="240" w:lineRule="auto"/>
        <w:jc w:val="both"/>
        <w:rPr>
          <w:i/>
          <w:szCs w:val="22"/>
          <w:lang w:val="fr-FR"/>
        </w:rPr>
      </w:pPr>
    </w:p>
    <w:p w14:paraId="65066BA0" w14:textId="77777777" w:rsidR="00630C6C" w:rsidRDefault="00630C6C">
      <w:pPr>
        <w:spacing w:after="160" w:line="259" w:lineRule="auto"/>
        <w:rPr>
          <w:szCs w:val="22"/>
          <w:lang w:val="fr-FR"/>
        </w:rPr>
      </w:pPr>
      <w:r>
        <w:rPr>
          <w:szCs w:val="22"/>
          <w:lang w:val="fr-FR"/>
        </w:rPr>
        <w:br w:type="page"/>
      </w:r>
    </w:p>
    <w:p w14:paraId="5837627D" w14:textId="09000ACD" w:rsidR="001D1232" w:rsidRPr="00121304" w:rsidRDefault="00630C6C" w:rsidP="001D1232">
      <w:pPr>
        <w:jc w:val="both"/>
        <w:rPr>
          <w:szCs w:val="22"/>
          <w:lang w:val="fr-FR"/>
        </w:rPr>
      </w:pPr>
      <w:r w:rsidRPr="00630C6C">
        <w:rPr>
          <w:szCs w:val="22"/>
          <w:lang w:val="fr-FR"/>
        </w:rPr>
        <w:lastRenderedPageBreak/>
        <w:t xml:space="preserve">Nous avons effectué notre contrôle </w:t>
      </w:r>
      <w:r>
        <w:rPr>
          <w:szCs w:val="22"/>
          <w:lang w:val="fr-FR"/>
        </w:rPr>
        <w:t xml:space="preserve">des données financières incluses dans les statistiques </w:t>
      </w:r>
      <w:r w:rsidRPr="00630C6C">
        <w:rPr>
          <w:szCs w:val="22"/>
          <w:lang w:val="fr-FR"/>
        </w:rPr>
        <w:t xml:space="preserve">selon les Normes Internationales d’Audit (ISA) et selon les instructions de la FSMA aux </w:t>
      </w:r>
      <w:r>
        <w:rPr>
          <w:szCs w:val="22"/>
          <w:lang w:val="fr-FR"/>
        </w:rPr>
        <w:t>c</w:t>
      </w:r>
      <w:r w:rsidRPr="00630C6C">
        <w:rPr>
          <w:szCs w:val="22"/>
          <w:lang w:val="fr-FR"/>
        </w:rPr>
        <w:t xml:space="preserve">ommissaires. Les responsabilités qui nous incombent en vertu de ces normes sont plus amplement décrites dans la section « Responsabilités du </w:t>
      </w:r>
      <w:r w:rsidR="001D1232">
        <w:rPr>
          <w:szCs w:val="22"/>
          <w:lang w:val="fr-FR"/>
        </w:rPr>
        <w:t>c</w:t>
      </w:r>
      <w:r w:rsidRPr="00630C6C">
        <w:rPr>
          <w:szCs w:val="22"/>
          <w:lang w:val="fr-FR"/>
        </w:rPr>
        <w:t>ommissaire » du présent rapport.</w:t>
      </w:r>
    </w:p>
    <w:p w14:paraId="578DB170" w14:textId="1D4551F0" w:rsidR="00E80257" w:rsidRPr="00121304" w:rsidRDefault="00E80257" w:rsidP="00AF0530">
      <w:pPr>
        <w:jc w:val="both"/>
        <w:rPr>
          <w:szCs w:val="22"/>
          <w:lang w:val="fr-FR"/>
        </w:rPr>
      </w:pPr>
    </w:p>
    <w:p w14:paraId="07653231" w14:textId="42196C8F" w:rsidR="001D1232" w:rsidRPr="001D1232" w:rsidRDefault="001D1232" w:rsidP="00AF0530">
      <w:pPr>
        <w:jc w:val="both"/>
        <w:rPr>
          <w:szCs w:val="22"/>
          <w:lang w:val="fr-FR"/>
        </w:rPr>
      </w:pPr>
      <w:r w:rsidRPr="001D1232">
        <w:rPr>
          <w:szCs w:val="22"/>
          <w:lang w:val="fr-FR"/>
        </w:rPr>
        <w:t xml:space="preserve">Ce rapport </w:t>
      </w:r>
      <w:r w:rsidR="008C4D25">
        <w:rPr>
          <w:szCs w:val="22"/>
          <w:lang w:val="fr-FR"/>
        </w:rPr>
        <w:t>comprend</w:t>
      </w:r>
      <w:r w:rsidR="008C4D25" w:rsidRPr="001D1232">
        <w:rPr>
          <w:szCs w:val="22"/>
          <w:lang w:val="fr-FR"/>
        </w:rPr>
        <w:t xml:space="preserve"> </w:t>
      </w:r>
      <w:r w:rsidRPr="001D1232">
        <w:rPr>
          <w:szCs w:val="22"/>
          <w:lang w:val="fr-FR"/>
        </w:rPr>
        <w:t xml:space="preserve">notre opinion sur l’établissement des </w:t>
      </w:r>
      <w:r>
        <w:rPr>
          <w:szCs w:val="22"/>
          <w:lang w:val="fr-FR"/>
        </w:rPr>
        <w:t xml:space="preserve">données financières incluses dans les </w:t>
      </w:r>
      <w:r w:rsidRPr="001D1232">
        <w:rPr>
          <w:szCs w:val="22"/>
          <w:lang w:val="fr-FR"/>
        </w:rPr>
        <w:t xml:space="preserve">statistiques </w:t>
      </w:r>
      <w:r>
        <w:rPr>
          <w:szCs w:val="22"/>
          <w:lang w:val="fr-FR"/>
        </w:rPr>
        <w:t>conformément aux</w:t>
      </w:r>
      <w:r w:rsidRPr="001D1232">
        <w:rPr>
          <w:szCs w:val="22"/>
          <w:lang w:val="fr-FR"/>
        </w:rPr>
        <w:t xml:space="preserve"> confirmations requises sur, entre autres, le caractère correct et complet de ces statistiques et sur l’application des règles de comptabilisation et d’évaluation.</w:t>
      </w:r>
    </w:p>
    <w:p w14:paraId="71DD0B3F" w14:textId="77777777" w:rsidR="00E80257" w:rsidRPr="001D1232" w:rsidRDefault="00E80257" w:rsidP="00AF0530">
      <w:pPr>
        <w:jc w:val="both"/>
        <w:rPr>
          <w:szCs w:val="22"/>
          <w:lang w:val="fr-FR"/>
        </w:rPr>
      </w:pPr>
    </w:p>
    <w:p w14:paraId="2F304C43" w14:textId="6EAFAAAD" w:rsidR="00E80257" w:rsidRPr="006968DF" w:rsidRDefault="001D1232" w:rsidP="004B6391">
      <w:pPr>
        <w:jc w:val="both"/>
        <w:rPr>
          <w:szCs w:val="22"/>
          <w:lang w:val="fr-FR"/>
        </w:rPr>
      </w:pPr>
      <w:r w:rsidRPr="001D1232">
        <w:rPr>
          <w:szCs w:val="22"/>
          <w:lang w:val="fr-FR"/>
        </w:rPr>
        <w:t>Nous estimons que les éléments probants que nous avons recueillis sont suffisants et appropriés pour fonder notre opinion</w:t>
      </w:r>
      <w:r w:rsidR="00E80257" w:rsidRPr="006968DF">
        <w:rPr>
          <w:szCs w:val="22"/>
          <w:lang w:val="fr-FR"/>
        </w:rPr>
        <w:t>.</w:t>
      </w:r>
    </w:p>
    <w:p w14:paraId="7BF997B8" w14:textId="77777777" w:rsidR="004564CE" w:rsidRPr="006968DF" w:rsidRDefault="004564CE" w:rsidP="00AF0530">
      <w:pPr>
        <w:jc w:val="both"/>
        <w:rPr>
          <w:b/>
          <w:i/>
          <w:szCs w:val="22"/>
          <w:lang w:val="fr-FR"/>
        </w:rPr>
      </w:pPr>
    </w:p>
    <w:p w14:paraId="313E7251" w14:textId="65CA1883" w:rsidR="00E80257" w:rsidRPr="006968DF" w:rsidRDefault="006968DF" w:rsidP="00AF0530">
      <w:pPr>
        <w:jc w:val="both"/>
        <w:rPr>
          <w:b/>
          <w:i/>
          <w:szCs w:val="22"/>
          <w:lang w:val="fr-FR"/>
        </w:rPr>
      </w:pPr>
      <w:r w:rsidRPr="006968DF">
        <w:rPr>
          <w:b/>
          <w:i/>
          <w:szCs w:val="22"/>
          <w:lang w:val="fr-FR"/>
        </w:rPr>
        <w:t xml:space="preserve">Responsabilités de la direction effective relatives aux données financières incluses dans les </w:t>
      </w:r>
      <w:r>
        <w:rPr>
          <w:b/>
          <w:i/>
          <w:szCs w:val="22"/>
          <w:lang w:val="fr-FR"/>
        </w:rPr>
        <w:t>statistiques</w:t>
      </w:r>
    </w:p>
    <w:p w14:paraId="43B46CA9" w14:textId="77777777" w:rsidR="00E80257" w:rsidRPr="006968DF" w:rsidRDefault="00E80257" w:rsidP="00AF0530">
      <w:pPr>
        <w:jc w:val="both"/>
        <w:rPr>
          <w:b/>
          <w:i/>
          <w:szCs w:val="22"/>
          <w:lang w:val="fr-FR"/>
        </w:rPr>
      </w:pPr>
    </w:p>
    <w:p w14:paraId="1F36F05D" w14:textId="53902698" w:rsidR="006968DF" w:rsidRDefault="006968DF" w:rsidP="00AF0530">
      <w:pPr>
        <w:jc w:val="both"/>
        <w:rPr>
          <w:szCs w:val="22"/>
          <w:lang w:val="fr-FR" w:eastAsia="nl-NL"/>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00C82F20" w:rsidRPr="00C82F20">
        <w:rPr>
          <w:iCs/>
          <w:szCs w:val="22"/>
          <w:lang w:val="fr-FR" w:eastAsia="nl-NL"/>
        </w:rPr>
        <w:t>,</w:t>
      </w:r>
      <w:r w:rsidRPr="006E4880">
        <w:rPr>
          <w:szCs w:val="22"/>
          <w:lang w:val="fr-FR" w:eastAsia="nl-NL"/>
        </w:rPr>
        <w:t xml:space="preserve"> est responsable de l'établissement des </w:t>
      </w:r>
      <w:r>
        <w:rPr>
          <w:szCs w:val="22"/>
          <w:lang w:val="fr-FR" w:eastAsia="nl-NL"/>
        </w:rPr>
        <w:t xml:space="preserve">données financières incluses dans les </w:t>
      </w:r>
      <w:r w:rsidRPr="006E4880">
        <w:rPr>
          <w:szCs w:val="22"/>
          <w:lang w:val="fr-FR" w:eastAsia="nl-NL"/>
        </w:rPr>
        <w:t xml:space="preserve">statistiques conformément aux dispositions en vigueur de la FSMA, ainsi que de la mise en place du contrôle interne qu'elle juge nécessaire pour permettre l'établissement de </w:t>
      </w:r>
      <w:r>
        <w:rPr>
          <w:szCs w:val="22"/>
          <w:lang w:val="fr-FR" w:eastAsia="nl-NL"/>
        </w:rPr>
        <w:t xml:space="preserve">données financières incluses dans les </w:t>
      </w:r>
      <w:r w:rsidRPr="006E4880">
        <w:rPr>
          <w:szCs w:val="22"/>
          <w:lang w:val="fr-FR" w:eastAsia="nl-NL"/>
        </w:rPr>
        <w:t>statistiques ne comportant pas d'anomalies significatives, que celles-ci proviennent de fraudes ou résultent d'erreurs</w:t>
      </w:r>
      <w:r w:rsidR="00C82F20">
        <w:rPr>
          <w:szCs w:val="22"/>
          <w:lang w:val="fr-FR" w:eastAsia="nl-NL"/>
        </w:rPr>
        <w:t>.</w:t>
      </w:r>
    </w:p>
    <w:p w14:paraId="12409D65" w14:textId="77777777" w:rsidR="00E80257" w:rsidRPr="00C82F20" w:rsidRDefault="00E80257" w:rsidP="00AF0530">
      <w:pPr>
        <w:jc w:val="both"/>
        <w:rPr>
          <w:szCs w:val="22"/>
          <w:lang w:val="fr-FR"/>
        </w:rPr>
      </w:pPr>
    </w:p>
    <w:p w14:paraId="53E2EE9A" w14:textId="5C256551" w:rsidR="00E80257" w:rsidRPr="006968DF" w:rsidRDefault="006968DF" w:rsidP="00AF0530">
      <w:pPr>
        <w:jc w:val="both"/>
        <w:rPr>
          <w:b/>
          <w:i/>
          <w:szCs w:val="22"/>
          <w:lang w:val="fr-FR"/>
        </w:rPr>
      </w:pPr>
      <w:r w:rsidRPr="006968DF">
        <w:rPr>
          <w:b/>
          <w:i/>
          <w:szCs w:val="22"/>
          <w:lang w:val="fr-FR"/>
        </w:rPr>
        <w:t xml:space="preserve">Responsabilités du commissaire relatives aux données financières incluses dans les </w:t>
      </w:r>
      <w:r>
        <w:rPr>
          <w:b/>
          <w:i/>
          <w:szCs w:val="22"/>
          <w:lang w:val="fr-FR"/>
        </w:rPr>
        <w:t>statistiques</w:t>
      </w:r>
    </w:p>
    <w:p w14:paraId="43E86BA7" w14:textId="77777777" w:rsidR="00E80257" w:rsidRPr="006968DF" w:rsidRDefault="00E80257" w:rsidP="00AF0530">
      <w:pPr>
        <w:jc w:val="both"/>
        <w:rPr>
          <w:b/>
          <w:i/>
          <w:szCs w:val="22"/>
          <w:lang w:val="fr-FR"/>
        </w:rPr>
      </w:pPr>
    </w:p>
    <w:p w14:paraId="47507644" w14:textId="79A60CDD" w:rsidR="00BA429B" w:rsidRPr="00BA429B" w:rsidRDefault="00BA429B" w:rsidP="00AF0530">
      <w:pPr>
        <w:jc w:val="both"/>
        <w:rPr>
          <w:szCs w:val="22"/>
          <w:lang w:val="fr-FR"/>
        </w:rPr>
      </w:pPr>
      <w:r w:rsidRPr="006E4880">
        <w:rPr>
          <w:szCs w:val="22"/>
          <w:lang w:val="fr-FR" w:eastAsia="nl-NL"/>
        </w:rPr>
        <w:t xml:space="preserve">Il est de notre responsabilité d'exprimer une opinion sur les </w:t>
      </w:r>
      <w:r>
        <w:rPr>
          <w:szCs w:val="22"/>
          <w:lang w:val="fr-FR" w:eastAsia="nl-NL"/>
        </w:rPr>
        <w:t xml:space="preserve">données financières incluses dans les </w:t>
      </w:r>
      <w:r w:rsidRPr="006E4880">
        <w:rPr>
          <w:szCs w:val="22"/>
          <w:lang w:val="fr-FR" w:eastAsia="nl-NL"/>
        </w:rPr>
        <w:t>statistiques sur la base de notre contrôle.</w:t>
      </w:r>
      <w:r w:rsidRPr="006E4880">
        <w:rPr>
          <w:szCs w:val="22"/>
          <w:lang w:val="fr-BE"/>
        </w:rPr>
        <w:t xml:space="preserve"> Nous avons effectué notre contrôle conformément aux Normes Internationales d’Audit (ISA)</w:t>
      </w:r>
      <w:r w:rsidR="00631B1B">
        <w:rPr>
          <w:szCs w:val="22"/>
          <w:lang w:val="fr-BE"/>
        </w:rPr>
        <w:t>, telles qu’applicables en Belgiques,</w:t>
      </w:r>
      <w:r w:rsidRPr="006E4880">
        <w:rPr>
          <w:szCs w:val="22"/>
          <w:lang w:val="fr-BE"/>
        </w:rPr>
        <w:t xml:space="preserve"> ainsi qu’aux instructions de la FSMA aux </w:t>
      </w:r>
      <w:r>
        <w:rPr>
          <w:szCs w:val="22"/>
          <w:lang w:val="fr-BE"/>
        </w:rPr>
        <w:t>commissaires</w:t>
      </w:r>
      <w:r w:rsidRPr="006E4880">
        <w:rPr>
          <w:szCs w:val="22"/>
          <w:lang w:val="fr-BE"/>
        </w:rPr>
        <w:t>. Ces normes et instructions requièrent</w:t>
      </w:r>
      <w:r w:rsidRPr="006E4880">
        <w:rPr>
          <w:szCs w:val="22"/>
          <w:lang w:val="fr-FR" w:eastAsia="nl-NL"/>
        </w:rPr>
        <w:t xml:space="preserve"> que nous nous conformions aux règles d'éthique et que nous planifions et réalisions notre contrôle en vue de l’obtention d’une assurance raisonnable que les </w:t>
      </w:r>
      <w:r>
        <w:rPr>
          <w:szCs w:val="22"/>
          <w:lang w:val="fr-FR" w:eastAsia="nl-NL"/>
        </w:rPr>
        <w:t xml:space="preserve">données financières incluses dans les </w:t>
      </w:r>
      <w:r w:rsidRPr="006E4880">
        <w:rPr>
          <w:szCs w:val="22"/>
          <w:lang w:val="fr-FR" w:eastAsia="nl-NL"/>
        </w:rPr>
        <w:t>statistiques ne comportent pas d'anomalies significatives</w:t>
      </w:r>
    </w:p>
    <w:p w14:paraId="53CEB935" w14:textId="6B7D7969" w:rsidR="00E80257" w:rsidRPr="00121304" w:rsidRDefault="00E80257" w:rsidP="00AF0530">
      <w:pPr>
        <w:jc w:val="both"/>
        <w:rPr>
          <w:szCs w:val="22"/>
          <w:lang w:val="fr-FR"/>
        </w:rPr>
      </w:pPr>
    </w:p>
    <w:p w14:paraId="03F89B5D" w14:textId="7946C6E2" w:rsidR="00631B1B" w:rsidRPr="006E4880" w:rsidRDefault="00631B1B" w:rsidP="00631B1B">
      <w:pPr>
        <w:autoSpaceDE w:val="0"/>
        <w:autoSpaceDN w:val="0"/>
        <w:adjustRightInd w:val="0"/>
        <w:spacing w:line="240" w:lineRule="auto"/>
        <w:jc w:val="both"/>
        <w:rPr>
          <w:szCs w:val="22"/>
          <w:lang w:val="fr-FR" w:eastAsia="nl-NL"/>
        </w:rPr>
      </w:pPr>
      <w:r w:rsidRPr="006E4880">
        <w:rPr>
          <w:szCs w:val="22"/>
          <w:lang w:val="fr-FR" w:eastAsia="nl-NL"/>
        </w:rPr>
        <w:t>Un contrôle implique la mise en œuvre de procédures en vue de recueillir des éléments probants concernant les montants et les informations fournies dans les statistiques. Le choix des procédures relève du jugement du</w:t>
      </w:r>
      <w:r w:rsidRPr="006E4880">
        <w:rPr>
          <w:i/>
          <w:szCs w:val="22"/>
          <w:lang w:val="fr-BE"/>
        </w:rPr>
        <w:t xml:space="preserve"> </w:t>
      </w:r>
      <w:r w:rsidRPr="006E4880">
        <w:rPr>
          <w:szCs w:val="22"/>
          <w:lang w:val="fr-FR" w:eastAsia="nl-NL"/>
        </w:rPr>
        <w:t>[</w:t>
      </w:r>
      <w:r w:rsidRPr="006E4880">
        <w:rPr>
          <w:i/>
          <w:szCs w:val="22"/>
          <w:lang w:val="fr-BE"/>
        </w:rPr>
        <w:t>« </w:t>
      </w:r>
      <w:r>
        <w:rPr>
          <w:i/>
          <w:szCs w:val="22"/>
          <w:lang w:val="fr-BE"/>
        </w:rPr>
        <w:t>c</w:t>
      </w:r>
      <w:r w:rsidRPr="006E4880">
        <w:rPr>
          <w:i/>
          <w:szCs w:val="22"/>
          <w:lang w:val="fr-BE"/>
        </w:rPr>
        <w:t xml:space="preserve">ommissaire » </w:t>
      </w:r>
      <w:r w:rsidRPr="006E4880">
        <w:rPr>
          <w:i/>
          <w:szCs w:val="22"/>
          <w:lang w:val="fr-FR" w:eastAsia="nl-NL"/>
        </w:rPr>
        <w:t xml:space="preserve">ou </w:t>
      </w:r>
      <w:r w:rsidRPr="006E4880">
        <w:rPr>
          <w:i/>
          <w:szCs w:val="22"/>
          <w:lang w:val="fr-BE"/>
        </w:rPr>
        <w:t>« </w:t>
      </w:r>
      <w:r>
        <w:rPr>
          <w:i/>
          <w:szCs w:val="22"/>
          <w:lang w:val="fr-BE"/>
        </w:rPr>
        <w:t>r</w:t>
      </w:r>
      <w:r w:rsidRPr="006E4880">
        <w:rPr>
          <w:i/>
          <w:szCs w:val="22"/>
          <w:lang w:val="fr-BE"/>
        </w:rPr>
        <w:t xml:space="preserve">eviseur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w:t>
      </w:r>
      <w:r w:rsidRPr="006E4880">
        <w:rPr>
          <w:szCs w:val="22"/>
          <w:lang w:val="fr-FR"/>
        </w:rPr>
        <w:t xml:space="preserve"> </w:t>
      </w:r>
      <w:r w:rsidRPr="006E4880">
        <w:rPr>
          <w:szCs w:val="22"/>
          <w:lang w:val="fr-FR" w:eastAsia="nl-NL"/>
        </w:rPr>
        <w:t>de même que de l'évaluation du risque que les statistiques comportent des anomalies significatives, que celles-ci proviennent de fraudes ou résultent d'erreurs. En procédant à cette évaluation, le [</w:t>
      </w:r>
      <w:r w:rsidRPr="006E4880">
        <w:rPr>
          <w:i/>
          <w:szCs w:val="22"/>
          <w:lang w:val="fr-BE"/>
        </w:rPr>
        <w:t>« </w:t>
      </w:r>
      <w:r>
        <w:rPr>
          <w:i/>
          <w:szCs w:val="22"/>
          <w:lang w:val="fr-BE"/>
        </w:rPr>
        <w:t>c</w:t>
      </w:r>
      <w:r w:rsidRPr="006E4880">
        <w:rPr>
          <w:i/>
          <w:szCs w:val="22"/>
          <w:lang w:val="fr-BE"/>
        </w:rPr>
        <w:t xml:space="preserve">ommissaire » </w:t>
      </w:r>
      <w:r w:rsidRPr="006E4880">
        <w:rPr>
          <w:i/>
          <w:szCs w:val="22"/>
          <w:lang w:val="fr-FR" w:eastAsia="nl-NL"/>
        </w:rPr>
        <w:t xml:space="preserve">ou </w:t>
      </w:r>
      <w:r w:rsidRPr="006E4880">
        <w:rPr>
          <w:i/>
          <w:szCs w:val="22"/>
          <w:lang w:val="fr-BE"/>
        </w:rPr>
        <w:t>« </w:t>
      </w:r>
      <w:r>
        <w:rPr>
          <w:i/>
          <w:szCs w:val="22"/>
          <w:lang w:val="fr-BE"/>
        </w:rPr>
        <w:t>r</w:t>
      </w:r>
      <w:r w:rsidRPr="006E4880">
        <w:rPr>
          <w:i/>
          <w:szCs w:val="22"/>
          <w:lang w:val="fr-BE"/>
        </w:rPr>
        <w:t xml:space="preserve">eviseur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 xml:space="preserve">] prend en compte le contrôle interne en vigueur dans l'institution en ce qui concerne l'établissement des statistiques afin de définir des procédures de contrôle appropriées en la circonstance, mais non dans le but d'exprimer une opinion sur l’efficacité du contrôle interne de l'institution dans son ensemble. Un contrôle comporte également l'appréciation du caractère approprié des méthodes comptables retenues et du caractère raisonnable des estimations comptables faites par </w:t>
      </w:r>
      <w:r>
        <w:rPr>
          <w:szCs w:val="22"/>
          <w:lang w:val="fr-FR" w:eastAsia="nl-NL"/>
        </w:rPr>
        <w:t>la direction effective</w:t>
      </w:r>
      <w:r w:rsidRPr="006E4880">
        <w:rPr>
          <w:szCs w:val="22"/>
          <w:lang w:val="fr-FR" w:eastAsia="nl-NL"/>
        </w:rPr>
        <w:t xml:space="preserve">, de même que l'appréciation de la présentation des </w:t>
      </w:r>
      <w:r w:rsidR="00FE5503">
        <w:rPr>
          <w:szCs w:val="22"/>
          <w:lang w:val="fr-FR" w:eastAsia="nl-NL"/>
        </w:rPr>
        <w:t xml:space="preserve">données financières incluses dans les </w:t>
      </w:r>
      <w:r w:rsidRPr="006E4880">
        <w:rPr>
          <w:szCs w:val="22"/>
          <w:lang w:val="fr-FR" w:eastAsia="nl-NL"/>
        </w:rPr>
        <w:t>statistiques pris</w:t>
      </w:r>
      <w:r w:rsidR="00FE5503">
        <w:rPr>
          <w:szCs w:val="22"/>
          <w:lang w:val="fr-FR" w:eastAsia="nl-NL"/>
        </w:rPr>
        <w:t>es</w:t>
      </w:r>
      <w:r w:rsidRPr="006E4880">
        <w:rPr>
          <w:szCs w:val="22"/>
          <w:lang w:val="fr-FR" w:eastAsia="nl-NL"/>
        </w:rPr>
        <w:t xml:space="preserve"> dans leur ensemble.</w:t>
      </w:r>
    </w:p>
    <w:p w14:paraId="47A79B2B" w14:textId="77777777" w:rsidR="00631B1B" w:rsidRPr="00631B1B" w:rsidRDefault="00631B1B" w:rsidP="00AF0530">
      <w:pPr>
        <w:jc w:val="both"/>
        <w:rPr>
          <w:szCs w:val="22"/>
          <w:lang w:val="fr-FR"/>
        </w:rPr>
      </w:pPr>
    </w:p>
    <w:p w14:paraId="72576343" w14:textId="7BBA1314" w:rsidR="00E80257" w:rsidRPr="00121304" w:rsidRDefault="00520D88" w:rsidP="00AF0530">
      <w:pPr>
        <w:jc w:val="both"/>
        <w:rPr>
          <w:szCs w:val="22"/>
          <w:lang w:val="fr-FR"/>
        </w:rPr>
      </w:pPr>
      <w:r w:rsidRPr="00121304">
        <w:rPr>
          <w:b/>
          <w:i/>
          <w:szCs w:val="22"/>
          <w:lang w:val="fr-FR"/>
        </w:rPr>
        <w:t>Confirmations complémentaires</w:t>
      </w:r>
    </w:p>
    <w:p w14:paraId="1D87E72B" w14:textId="77777777" w:rsidR="00E80257" w:rsidRPr="00121304" w:rsidRDefault="00E80257" w:rsidP="00AF0530">
      <w:pPr>
        <w:jc w:val="both"/>
        <w:rPr>
          <w:szCs w:val="22"/>
          <w:lang w:val="fr-FR"/>
        </w:rPr>
      </w:pPr>
    </w:p>
    <w:p w14:paraId="01BC30C5" w14:textId="02C4F2D1" w:rsidR="00E80257" w:rsidRPr="001745F1" w:rsidRDefault="00F850E0" w:rsidP="00AF0530">
      <w:pPr>
        <w:tabs>
          <w:tab w:val="num" w:pos="540"/>
        </w:tabs>
        <w:jc w:val="both"/>
        <w:rPr>
          <w:szCs w:val="22"/>
          <w:lang w:val="fr-FR"/>
        </w:rPr>
      </w:pPr>
      <w:r w:rsidRPr="001745F1">
        <w:rPr>
          <w:szCs w:val="22"/>
          <w:lang w:val="fr-FR"/>
        </w:rPr>
        <w:t>En conclusion de nos travaux, nous confirmons également que</w:t>
      </w:r>
      <w:r w:rsidR="00A94973">
        <w:rPr>
          <w:szCs w:val="22"/>
          <w:lang w:val="fr-FR"/>
        </w:rPr>
        <w:t> :</w:t>
      </w:r>
    </w:p>
    <w:p w14:paraId="2BA7A85F" w14:textId="77777777" w:rsidR="00E80257" w:rsidRPr="001745F1" w:rsidRDefault="00E80257" w:rsidP="00AF0530">
      <w:pPr>
        <w:tabs>
          <w:tab w:val="num" w:pos="540"/>
        </w:tabs>
        <w:jc w:val="both"/>
        <w:rPr>
          <w:szCs w:val="22"/>
          <w:lang w:val="fr-FR"/>
        </w:rPr>
      </w:pPr>
    </w:p>
    <w:p w14:paraId="59F2FDD5" w14:textId="37F43DFA" w:rsidR="00E80257" w:rsidRPr="00757BBA" w:rsidRDefault="00757BBA" w:rsidP="00E97943">
      <w:pPr>
        <w:numPr>
          <w:ilvl w:val="0"/>
          <w:numId w:val="13"/>
        </w:numPr>
        <w:spacing w:line="240" w:lineRule="auto"/>
        <w:ind w:left="426" w:hanging="426"/>
        <w:jc w:val="both"/>
        <w:rPr>
          <w:szCs w:val="22"/>
          <w:lang w:val="fr-FR"/>
        </w:rPr>
      </w:pPr>
      <w:r w:rsidRPr="00757BBA">
        <w:rPr>
          <w:szCs w:val="22"/>
          <w:lang w:val="fr-FR"/>
        </w:rPr>
        <w:t xml:space="preserve">les </w:t>
      </w:r>
      <w:r>
        <w:rPr>
          <w:szCs w:val="22"/>
          <w:lang w:val="fr-FR"/>
        </w:rPr>
        <w:t xml:space="preserve">données financières incluses dans les </w:t>
      </w:r>
      <w:r w:rsidRPr="00757BBA">
        <w:rPr>
          <w:szCs w:val="22"/>
          <w:lang w:val="fr-FR"/>
        </w:rPr>
        <w:t xml:space="preserve">statistiques clôturées le </w:t>
      </w:r>
      <w:r w:rsidRPr="00757BBA">
        <w:rPr>
          <w:i/>
          <w:iCs/>
          <w:szCs w:val="22"/>
          <w:lang w:val="fr-FR"/>
        </w:rPr>
        <w:t>[JJ/MM/AAAA]</w:t>
      </w:r>
      <w:r w:rsidRPr="00757BBA">
        <w:rPr>
          <w:szCs w:val="22"/>
          <w:lang w:val="fr-FR"/>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w:t>
      </w:r>
      <w:r w:rsidR="00E80257" w:rsidRPr="00757BBA">
        <w:rPr>
          <w:szCs w:val="22"/>
          <w:lang w:val="fr-FR"/>
        </w:rPr>
        <w:t>; e</w:t>
      </w:r>
      <w:r>
        <w:rPr>
          <w:szCs w:val="22"/>
          <w:lang w:val="fr-FR"/>
        </w:rPr>
        <w:t>t</w:t>
      </w:r>
    </w:p>
    <w:p w14:paraId="5A00C37F" w14:textId="77777777" w:rsidR="00E80257" w:rsidRPr="00757BBA" w:rsidRDefault="00E80257" w:rsidP="00E97943">
      <w:pPr>
        <w:spacing w:line="240" w:lineRule="auto"/>
        <w:ind w:left="426" w:hanging="426"/>
        <w:jc w:val="both"/>
        <w:rPr>
          <w:szCs w:val="22"/>
          <w:lang w:val="fr-FR"/>
        </w:rPr>
      </w:pPr>
    </w:p>
    <w:p w14:paraId="6A58C749" w14:textId="05FF021D" w:rsidR="00E80257" w:rsidRPr="00757BBA" w:rsidRDefault="00CD6880" w:rsidP="00E97943">
      <w:pPr>
        <w:numPr>
          <w:ilvl w:val="0"/>
          <w:numId w:val="13"/>
        </w:numPr>
        <w:spacing w:line="240" w:lineRule="auto"/>
        <w:ind w:left="426" w:hanging="426"/>
        <w:jc w:val="both"/>
        <w:rPr>
          <w:i/>
          <w:szCs w:val="22"/>
          <w:lang w:val="fr-FR"/>
        </w:rPr>
      </w:pPr>
      <w:r>
        <w:rPr>
          <w:szCs w:val="22"/>
          <w:lang w:val="fr-FR"/>
        </w:rPr>
        <w:t xml:space="preserve">En ce qui concerne les données comptables, </w:t>
      </w:r>
      <w:r w:rsidR="00757BBA">
        <w:rPr>
          <w:szCs w:val="22"/>
          <w:lang w:val="fr-FR"/>
        </w:rPr>
        <w:t xml:space="preserve">les </w:t>
      </w:r>
      <w:r w:rsidR="00757BBA" w:rsidRPr="00757BBA">
        <w:rPr>
          <w:szCs w:val="22"/>
          <w:lang w:val="fr-FR"/>
        </w:rPr>
        <w:t xml:space="preserve">statistiques clôturées le </w:t>
      </w:r>
      <w:r w:rsidR="00757BBA" w:rsidRPr="00757BBA">
        <w:rPr>
          <w:i/>
          <w:iCs/>
          <w:szCs w:val="22"/>
          <w:lang w:val="fr-FR"/>
        </w:rPr>
        <w:t>[JJ/MM/AAAA]</w:t>
      </w:r>
      <w:r>
        <w:rPr>
          <w:i/>
          <w:iCs/>
          <w:szCs w:val="22"/>
          <w:lang w:val="fr-FR"/>
        </w:rPr>
        <w:t xml:space="preserve"> </w:t>
      </w:r>
      <w:r w:rsidR="00757BBA" w:rsidRPr="00757BBA">
        <w:rPr>
          <w:szCs w:val="22"/>
          <w:lang w:val="fr-FR"/>
        </w:rPr>
        <w:t xml:space="preserve">ont été établies par application des règles de comptabilisation et d’évaluation présidant à l’établissement des comptes annuels au </w:t>
      </w:r>
      <w:r w:rsidR="00757BBA" w:rsidRPr="00757BBA">
        <w:rPr>
          <w:i/>
          <w:iCs/>
          <w:szCs w:val="22"/>
          <w:lang w:val="fr-FR"/>
        </w:rPr>
        <w:t>[JJ/MM/AAAA]</w:t>
      </w:r>
      <w:r w:rsidR="00E80257" w:rsidRPr="00757BBA">
        <w:rPr>
          <w:szCs w:val="22"/>
          <w:lang w:val="fr-FR"/>
        </w:rPr>
        <w:t>.</w:t>
      </w:r>
    </w:p>
    <w:p w14:paraId="6AE227CA" w14:textId="77777777" w:rsidR="00E80257" w:rsidRPr="00757BBA" w:rsidRDefault="00E80257" w:rsidP="00AF0530">
      <w:pPr>
        <w:spacing w:line="240" w:lineRule="auto"/>
        <w:jc w:val="both"/>
        <w:rPr>
          <w:i/>
          <w:szCs w:val="22"/>
          <w:lang w:val="fr-FR"/>
        </w:rPr>
      </w:pPr>
    </w:p>
    <w:p w14:paraId="011D5C49" w14:textId="354E2EC2" w:rsidR="00E80257" w:rsidRPr="00BF1C9D" w:rsidRDefault="00BF1C9D" w:rsidP="00BF1C9D">
      <w:pPr>
        <w:jc w:val="both"/>
        <w:rPr>
          <w:szCs w:val="22"/>
          <w:lang w:val="fr-FR"/>
        </w:rPr>
      </w:pPr>
      <w:r w:rsidRPr="006E4880">
        <w:rPr>
          <w:szCs w:val="22"/>
          <w:lang w:val="fr-FR"/>
        </w:rPr>
        <w:t xml:space="preserve">L’opinion et les confirmations complémentaires portent sur les </w:t>
      </w:r>
      <w:r>
        <w:rPr>
          <w:szCs w:val="22"/>
          <w:lang w:val="fr-FR"/>
        </w:rPr>
        <w:t xml:space="preserve">données financières incluses dans les </w:t>
      </w:r>
      <w:r w:rsidRPr="006E4880">
        <w:rPr>
          <w:szCs w:val="22"/>
          <w:lang w:val="fr-FR"/>
        </w:rPr>
        <w:t xml:space="preserve">statistiques de </w:t>
      </w:r>
      <w:r w:rsidRPr="006E4880">
        <w:rPr>
          <w:i/>
          <w:szCs w:val="22"/>
          <w:lang w:val="fr-FR" w:eastAsia="nl-NL"/>
        </w:rPr>
        <w:t>[identification de l'institution]</w:t>
      </w:r>
      <w:r w:rsidRPr="006E4880">
        <w:rPr>
          <w:szCs w:val="22"/>
          <w:lang w:val="fr-FR"/>
        </w:rPr>
        <w:t xml:space="preserve"> et de chacun de ses compartiments</w:t>
      </w:r>
      <w:r w:rsidR="00E80257" w:rsidRPr="00BF1C9D">
        <w:rPr>
          <w:szCs w:val="22"/>
          <w:lang w:val="fr-FR"/>
        </w:rPr>
        <w:t>.</w:t>
      </w:r>
    </w:p>
    <w:p w14:paraId="5E69FF36" w14:textId="6FC7B59F" w:rsidR="00AF0530" w:rsidRPr="00BF1C9D" w:rsidRDefault="00AF0530" w:rsidP="00AF0530">
      <w:pPr>
        <w:jc w:val="both"/>
        <w:rPr>
          <w:szCs w:val="22"/>
          <w:lang w:val="fr-FR"/>
        </w:rPr>
      </w:pPr>
    </w:p>
    <w:p w14:paraId="5B8F9603" w14:textId="77777777" w:rsidR="002138AF" w:rsidRPr="00BF1C9D" w:rsidRDefault="002138AF" w:rsidP="00AF0530">
      <w:pPr>
        <w:jc w:val="both"/>
        <w:rPr>
          <w:szCs w:val="22"/>
          <w:lang w:val="fr-FR"/>
        </w:rPr>
      </w:pPr>
    </w:p>
    <w:p w14:paraId="23709848" w14:textId="7524C6DA" w:rsidR="004564CE" w:rsidRPr="00BF1C9D" w:rsidRDefault="00E74B87" w:rsidP="00E335AF">
      <w:pPr>
        <w:pStyle w:val="ListParagraph"/>
        <w:numPr>
          <w:ilvl w:val="0"/>
          <w:numId w:val="9"/>
        </w:numPr>
        <w:ind w:left="284" w:hanging="284"/>
        <w:jc w:val="both"/>
        <w:rPr>
          <w:b/>
          <w:iCs/>
          <w:szCs w:val="22"/>
          <w:lang w:val="fr-FR"/>
        </w:rPr>
      </w:pPr>
      <w:r w:rsidRPr="00BF1C9D">
        <w:rPr>
          <w:b/>
          <w:iCs/>
          <w:szCs w:val="22"/>
          <w:lang w:val="fr-FR"/>
        </w:rPr>
        <w:t>Partie 2</w:t>
      </w:r>
      <w:r w:rsidR="002138AF" w:rsidRPr="00BF1C9D">
        <w:rPr>
          <w:b/>
          <w:iCs/>
          <w:szCs w:val="22"/>
          <w:lang w:val="fr-FR"/>
        </w:rPr>
        <w:t xml:space="preserve"> : </w:t>
      </w:r>
      <w:r w:rsidR="00BF1C9D" w:rsidRPr="00761DC1">
        <w:rPr>
          <w:b/>
          <w:iCs/>
          <w:szCs w:val="22"/>
          <w:lang w:val="fr-FR"/>
        </w:rPr>
        <w:t xml:space="preserve">Rapport du commissaire à la FSMA conformément à l’article 106, § 1, premier </w:t>
      </w:r>
      <w:r w:rsidR="002F2F3D" w:rsidRPr="00761DC1">
        <w:rPr>
          <w:b/>
          <w:iCs/>
          <w:szCs w:val="22"/>
          <w:lang w:val="fr-FR"/>
        </w:rPr>
        <w:t>alinéa</w:t>
      </w:r>
      <w:r w:rsidR="00BF1C9D" w:rsidRPr="00761DC1">
        <w:rPr>
          <w:b/>
          <w:iCs/>
          <w:szCs w:val="22"/>
          <w:lang w:val="fr-FR"/>
        </w:rPr>
        <w:t>, 2°, b), (ii) de la loi du 3 août 2012 concernant l</w:t>
      </w:r>
      <w:r w:rsidR="00BF1C9D">
        <w:rPr>
          <w:b/>
          <w:iCs/>
          <w:szCs w:val="22"/>
          <w:lang w:val="fr-FR"/>
        </w:rPr>
        <w:t>es tableaux</w:t>
      </w:r>
      <w:r w:rsidR="00BF1C9D" w:rsidRPr="00761DC1">
        <w:rPr>
          <w:b/>
          <w:iCs/>
          <w:szCs w:val="22"/>
          <w:lang w:val="fr-FR"/>
        </w:rPr>
        <w:t xml:space="preserve"> AIF e</w:t>
      </w:r>
      <w:r w:rsidR="00BF1C9D">
        <w:rPr>
          <w:b/>
          <w:iCs/>
          <w:szCs w:val="22"/>
          <w:lang w:val="fr-FR"/>
        </w:rPr>
        <w:t>t</w:t>
      </w:r>
      <w:r w:rsidR="00BF1C9D" w:rsidRPr="00761DC1">
        <w:rPr>
          <w:b/>
          <w:iCs/>
          <w:szCs w:val="22"/>
          <w:lang w:val="fr-FR"/>
        </w:rPr>
        <w:t xml:space="preserve"> CIS_SUP_1 </w:t>
      </w:r>
      <w:r w:rsidR="00BF1C9D">
        <w:rPr>
          <w:b/>
          <w:iCs/>
          <w:szCs w:val="22"/>
          <w:lang w:val="fr-FR"/>
        </w:rPr>
        <w:t>de</w:t>
      </w:r>
      <w:r w:rsidR="00BF1C9D" w:rsidRPr="00761DC1">
        <w:rPr>
          <w:b/>
          <w:iCs/>
          <w:szCs w:val="22"/>
          <w:lang w:val="fr-FR"/>
        </w:rPr>
        <w:t xml:space="preserve"> </w:t>
      </w:r>
      <w:r w:rsidR="00BF1C9D" w:rsidRPr="00761DC1">
        <w:rPr>
          <w:b/>
          <w:i/>
          <w:szCs w:val="22"/>
          <w:lang w:val="fr-FR"/>
        </w:rPr>
        <w:t>[identificati</w:t>
      </w:r>
      <w:r w:rsidR="00BF1C9D">
        <w:rPr>
          <w:b/>
          <w:i/>
          <w:szCs w:val="22"/>
          <w:lang w:val="fr-FR"/>
        </w:rPr>
        <w:t>on de l’institution</w:t>
      </w:r>
      <w:r w:rsidR="00BF1C9D" w:rsidRPr="00761DC1">
        <w:rPr>
          <w:b/>
          <w:i/>
          <w:szCs w:val="22"/>
          <w:lang w:val="fr-FR"/>
        </w:rPr>
        <w:t>] [“</w:t>
      </w:r>
      <w:r w:rsidR="00BF1C9D">
        <w:rPr>
          <w:b/>
          <w:i/>
          <w:szCs w:val="22"/>
          <w:lang w:val="fr-FR"/>
        </w:rPr>
        <w:t>pour l’exercice clôturé le JJ/MM/AAAA</w:t>
      </w:r>
      <w:r w:rsidR="00BF1C9D" w:rsidRPr="00761DC1">
        <w:rPr>
          <w:b/>
          <w:i/>
          <w:szCs w:val="22"/>
          <w:lang w:val="fr-FR"/>
        </w:rPr>
        <w:t xml:space="preserve">” </w:t>
      </w:r>
      <w:r w:rsidR="00BF1C9D">
        <w:rPr>
          <w:b/>
          <w:i/>
          <w:szCs w:val="22"/>
          <w:lang w:val="fr-FR"/>
        </w:rPr>
        <w:t>ou</w:t>
      </w:r>
      <w:r w:rsidR="00BF1C9D" w:rsidRPr="00761DC1">
        <w:rPr>
          <w:b/>
          <w:i/>
          <w:szCs w:val="22"/>
          <w:lang w:val="fr-FR"/>
        </w:rPr>
        <w:t xml:space="preserve"> “</w:t>
      </w:r>
      <w:r w:rsidR="00BF1C9D">
        <w:rPr>
          <w:b/>
          <w:i/>
          <w:szCs w:val="22"/>
          <w:lang w:val="fr-FR"/>
        </w:rPr>
        <w:t>à la fin du trimestre clôturé le JJ/MM/AAAA</w:t>
      </w:r>
      <w:r w:rsidR="00BF1C9D" w:rsidRPr="00761DC1">
        <w:rPr>
          <w:b/>
          <w:i/>
          <w:szCs w:val="22"/>
          <w:lang w:val="fr-FR"/>
        </w:rPr>
        <w:t xml:space="preserve">”, </w:t>
      </w:r>
      <w:r w:rsidR="00BF1C9D">
        <w:rPr>
          <w:b/>
          <w:i/>
          <w:szCs w:val="22"/>
          <w:lang w:val="fr-FR"/>
        </w:rPr>
        <w:t>selon le cas</w:t>
      </w:r>
      <w:r w:rsidR="00BF1C9D" w:rsidRPr="00761DC1">
        <w:rPr>
          <w:b/>
          <w:i/>
          <w:szCs w:val="22"/>
          <w:lang w:val="fr-FR"/>
        </w:rPr>
        <w:t>]</w:t>
      </w:r>
    </w:p>
    <w:p w14:paraId="58A15D01" w14:textId="77777777" w:rsidR="00AF0530" w:rsidRPr="00BF1C9D" w:rsidRDefault="00AF0530" w:rsidP="00AF0530">
      <w:pPr>
        <w:jc w:val="both"/>
        <w:rPr>
          <w:szCs w:val="22"/>
          <w:lang w:val="fr-FR"/>
        </w:rPr>
      </w:pPr>
    </w:p>
    <w:p w14:paraId="4179DC3C" w14:textId="7E32D984" w:rsidR="00332144" w:rsidRPr="001E1308" w:rsidRDefault="00BF1C9D" w:rsidP="00AF0530">
      <w:pPr>
        <w:jc w:val="both"/>
        <w:rPr>
          <w:b/>
          <w:bCs/>
          <w:i/>
          <w:iCs/>
          <w:szCs w:val="22"/>
          <w:lang w:val="fr-FR"/>
        </w:rPr>
      </w:pPr>
      <w:r w:rsidRPr="001E1308">
        <w:rPr>
          <w:b/>
          <w:bCs/>
          <w:i/>
          <w:iCs/>
          <w:szCs w:val="22"/>
          <w:lang w:val="fr-FR"/>
        </w:rPr>
        <w:t>Mission</w:t>
      </w:r>
    </w:p>
    <w:p w14:paraId="7B02C0B6" w14:textId="28B88DA9" w:rsidR="00E15CDE" w:rsidRPr="001E1308" w:rsidRDefault="00E15CDE" w:rsidP="00AF0530">
      <w:pPr>
        <w:jc w:val="both"/>
        <w:rPr>
          <w:b/>
          <w:bCs/>
          <w:szCs w:val="22"/>
          <w:lang w:val="fr-FR"/>
        </w:rPr>
      </w:pPr>
    </w:p>
    <w:p w14:paraId="55191F48" w14:textId="1364A910" w:rsidR="00631C4A" w:rsidRPr="00121304" w:rsidRDefault="001E1308" w:rsidP="00660383">
      <w:pPr>
        <w:jc w:val="both"/>
        <w:rPr>
          <w:rFonts w:eastAsia="MingLiU"/>
          <w:szCs w:val="22"/>
          <w:lang w:val="fr-FR"/>
        </w:rPr>
      </w:pPr>
      <w:r w:rsidRPr="00D4477D">
        <w:rPr>
          <w:rFonts w:eastAsia="MingLiU"/>
          <w:szCs w:val="22"/>
          <w:lang w:val="fr-FR"/>
        </w:rPr>
        <w:t xml:space="preserve">Dans le cadre de notre </w:t>
      </w:r>
      <w:r w:rsidR="00660383">
        <w:rPr>
          <w:rFonts w:eastAsia="MingLiU"/>
          <w:szCs w:val="22"/>
          <w:lang w:val="fr-FR"/>
        </w:rPr>
        <w:t>vérification</w:t>
      </w:r>
      <w:r w:rsidRPr="00D4477D">
        <w:rPr>
          <w:rFonts w:eastAsia="MingLiU"/>
          <w:szCs w:val="22"/>
          <w:lang w:val="fr-FR"/>
        </w:rPr>
        <w:t xml:space="preserve"> des </w:t>
      </w:r>
      <w:r w:rsidR="00660383">
        <w:rPr>
          <w:rFonts w:eastAsia="MingLiU"/>
          <w:szCs w:val="22"/>
          <w:lang w:val="fr-FR"/>
        </w:rPr>
        <w:t>données reprises dans les statistiques</w:t>
      </w:r>
      <w:r w:rsidRPr="00D4477D">
        <w:rPr>
          <w:rFonts w:eastAsia="MingLiU"/>
          <w:szCs w:val="22"/>
          <w:lang w:val="fr-FR"/>
        </w:rPr>
        <w:t xml:space="preserve"> AIF et CIS_SUP1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on de l’institution</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w:t>
      </w:r>
      <w:r w:rsidR="00660383">
        <w:rPr>
          <w:rFonts w:eastAsia="MingLiU"/>
          <w:szCs w:val="22"/>
          <w:lang w:val="fr-FR"/>
        </w:rPr>
        <w:t>.</w:t>
      </w:r>
    </w:p>
    <w:p w14:paraId="760CEE79" w14:textId="77777777" w:rsidR="00631C4A" w:rsidRPr="00121304" w:rsidRDefault="00631C4A" w:rsidP="00AF0530">
      <w:pPr>
        <w:jc w:val="both"/>
        <w:rPr>
          <w:rFonts w:eastAsia="MingLiU"/>
          <w:szCs w:val="22"/>
          <w:lang w:val="fr-FR"/>
        </w:rPr>
      </w:pPr>
    </w:p>
    <w:p w14:paraId="0CBC9B4A" w14:textId="77808426" w:rsidR="00893B80" w:rsidRPr="00660383" w:rsidRDefault="00CD6880" w:rsidP="00082474">
      <w:pPr>
        <w:jc w:val="both"/>
        <w:rPr>
          <w:szCs w:val="22"/>
          <w:lang w:val="fr-FR"/>
        </w:rPr>
      </w:pPr>
      <w:r>
        <w:rPr>
          <w:rFonts w:eastAsia="MingLiU"/>
          <w:szCs w:val="22"/>
          <w:lang w:val="fr-FR"/>
        </w:rPr>
        <w:t xml:space="preserve">La circulaire </w:t>
      </w:r>
      <w:r w:rsidR="00660383" w:rsidRPr="00660383">
        <w:rPr>
          <w:rFonts w:eastAsia="MingLiU"/>
          <w:szCs w:val="22"/>
          <w:lang w:val="fr-FR"/>
        </w:rPr>
        <w:t>FSMA 2022_08</w:t>
      </w:r>
      <w:r>
        <w:rPr>
          <w:rFonts w:eastAsia="MingLiU"/>
          <w:szCs w:val="22"/>
          <w:lang w:val="fr-FR"/>
        </w:rPr>
        <w:t xml:space="preserve"> précise les attentes de la FSMA vis-à-vis du commissaire </w:t>
      </w:r>
      <w:r w:rsidR="00660383" w:rsidRPr="00660383">
        <w:rPr>
          <w:rFonts w:eastAsia="MingLiU"/>
          <w:szCs w:val="22"/>
          <w:lang w:val="fr-FR"/>
        </w:rPr>
        <w:t xml:space="preserve">en ce qui concerne les informations suivantes reprises dans les </w:t>
      </w:r>
      <w:r w:rsidR="00660383">
        <w:rPr>
          <w:rFonts w:eastAsia="MingLiU"/>
          <w:szCs w:val="22"/>
          <w:lang w:val="fr-FR"/>
        </w:rPr>
        <w:t>tableaux</w:t>
      </w:r>
      <w:r w:rsidR="00631C4A" w:rsidRPr="00660383">
        <w:rPr>
          <w:rFonts w:eastAsia="MingLiU"/>
          <w:szCs w:val="22"/>
          <w:lang w:val="fr-FR"/>
        </w:rPr>
        <w:t xml:space="preserve"> AIF e</w:t>
      </w:r>
      <w:r w:rsidR="00660383">
        <w:rPr>
          <w:rFonts w:eastAsia="MingLiU"/>
          <w:szCs w:val="22"/>
          <w:lang w:val="fr-FR"/>
        </w:rPr>
        <w:t>t</w:t>
      </w:r>
      <w:r w:rsidR="00631C4A" w:rsidRPr="00660383">
        <w:rPr>
          <w:rFonts w:eastAsia="MingLiU"/>
          <w:szCs w:val="22"/>
          <w:lang w:val="fr-FR"/>
        </w:rPr>
        <w:t xml:space="preserve"> CIS_SUP_1 (</w:t>
      </w:r>
      <w:r w:rsidR="00660383">
        <w:rPr>
          <w:rFonts w:eastAsia="MingLiU"/>
          <w:szCs w:val="22"/>
          <w:lang w:val="fr-FR"/>
        </w:rPr>
        <w:t>ci-après</w:t>
      </w:r>
      <w:r w:rsidR="00631C4A" w:rsidRPr="00660383">
        <w:rPr>
          <w:rFonts w:eastAsia="MingLiU"/>
          <w:szCs w:val="22"/>
          <w:lang w:val="fr-FR"/>
        </w:rPr>
        <w:t xml:space="preserve"> </w:t>
      </w:r>
      <w:r w:rsidR="00631C4A" w:rsidRPr="00660383">
        <w:rPr>
          <w:rFonts w:eastAsia="MingLiU"/>
          <w:i/>
          <w:iCs/>
          <w:szCs w:val="22"/>
          <w:lang w:val="fr-FR"/>
        </w:rPr>
        <w:t>“</w:t>
      </w:r>
      <w:r w:rsidR="00660383">
        <w:rPr>
          <w:rFonts w:eastAsia="MingLiU"/>
          <w:i/>
          <w:iCs/>
          <w:szCs w:val="22"/>
          <w:lang w:val="fr-FR"/>
        </w:rPr>
        <w:t>les données non-financières</w:t>
      </w:r>
      <w:r w:rsidR="00631C4A" w:rsidRPr="00660383">
        <w:rPr>
          <w:rFonts w:eastAsia="MingLiU"/>
          <w:i/>
          <w:iCs/>
          <w:szCs w:val="22"/>
          <w:lang w:val="fr-FR"/>
        </w:rPr>
        <w:t>”</w:t>
      </w:r>
      <w:r w:rsidR="00631C4A" w:rsidRPr="00660383">
        <w:rPr>
          <w:rFonts w:eastAsia="MingLiU"/>
          <w:szCs w:val="22"/>
          <w:lang w:val="fr-FR"/>
        </w:rPr>
        <w:t>)</w:t>
      </w:r>
      <w:r w:rsidR="00A94973">
        <w:rPr>
          <w:rFonts w:eastAsia="MingLiU"/>
          <w:szCs w:val="22"/>
          <w:lang w:val="fr-FR"/>
        </w:rPr>
        <w:t> :</w:t>
      </w:r>
    </w:p>
    <w:p w14:paraId="4C960E3E" w14:textId="185A9527" w:rsidR="00893B80" w:rsidRPr="00121304" w:rsidRDefault="007E2EBA" w:rsidP="007E2EBA">
      <w:pPr>
        <w:pStyle w:val="ListParagraph"/>
        <w:numPr>
          <w:ilvl w:val="0"/>
          <w:numId w:val="16"/>
        </w:numPr>
        <w:jc w:val="both"/>
        <w:rPr>
          <w:szCs w:val="22"/>
          <w:lang w:val="fr-FR"/>
        </w:rPr>
      </w:pPr>
      <w:r w:rsidRPr="007E2EBA">
        <w:rPr>
          <w:szCs w:val="22"/>
          <w:lang w:val="fr-FR"/>
        </w:rPr>
        <w:t>Le commissaire agréé contrôle si les données correspondent aux informations figurant dans les statuts ou le règlement de gestion, le prospectus et le document d’informations clés pour l‘investisseur de l’OPC. Il vérifie en particulier si les données d’identification, telles que les noms et les codes (par exemple, de l’OPC, du compartiment, des classes d’actions ou de parts, de la société de gestion, de l’éventuel feeder ou de l’éventuel master), la devise de référence ou de base, les données ayant trait à la politique d’investissement suivie et les données sur le profil de liquidité du passif concordent avec ces documents.</w:t>
      </w:r>
    </w:p>
    <w:p w14:paraId="74FBB170" w14:textId="446E8022" w:rsidR="00893B80" w:rsidRPr="005F2107" w:rsidRDefault="005F2107" w:rsidP="005F2107">
      <w:pPr>
        <w:pStyle w:val="ListParagraph"/>
        <w:numPr>
          <w:ilvl w:val="0"/>
          <w:numId w:val="16"/>
        </w:numPr>
        <w:jc w:val="both"/>
        <w:rPr>
          <w:szCs w:val="22"/>
          <w:lang w:val="fr-FR"/>
        </w:rPr>
      </w:pPr>
      <w:r w:rsidRPr="005F2107">
        <w:rPr>
          <w:szCs w:val="22"/>
          <w:lang w:val="fr-FR"/>
        </w:rPr>
        <w:t xml:space="preserve">Le commissaire agréé contrôle si les données qui ne sont pas </w:t>
      </w:r>
      <w:r>
        <w:rPr>
          <w:szCs w:val="22"/>
          <w:lang w:val="fr-FR"/>
        </w:rPr>
        <w:t>comprises dans partie 1 du présent rapport</w:t>
      </w:r>
      <w:r w:rsidRPr="005F2107">
        <w:rPr>
          <w:szCs w:val="22"/>
          <w:lang w:val="fr-FR"/>
        </w:rPr>
        <w:t xml:space="preserve"> concordent de manière raisonnable avec la comptabilité et les inventaires de l’OPC, et si ces données sont conformes aux données délivrées par les systèmes et procédures pertinents de l’OPC, comme ceux qui portent sur la gestion du portefeuille et des risques</w:t>
      </w:r>
      <w:r w:rsidR="00893B80" w:rsidRPr="005F2107">
        <w:rPr>
          <w:szCs w:val="22"/>
          <w:lang w:val="fr-FR"/>
        </w:rPr>
        <w:t>.</w:t>
      </w:r>
    </w:p>
    <w:p w14:paraId="76D31C08" w14:textId="5A6EC7B0" w:rsidR="00893B80" w:rsidRPr="00CE3B22" w:rsidRDefault="00CE3B22" w:rsidP="00CE3B22">
      <w:pPr>
        <w:pStyle w:val="ListParagraph"/>
        <w:numPr>
          <w:ilvl w:val="0"/>
          <w:numId w:val="16"/>
        </w:numPr>
        <w:jc w:val="both"/>
        <w:rPr>
          <w:szCs w:val="22"/>
          <w:lang w:val="fr-FR"/>
        </w:rPr>
      </w:pPr>
      <w:r w:rsidRPr="00CE3B22">
        <w:rPr>
          <w:szCs w:val="22"/>
          <w:lang w:val="fr-FR"/>
        </w:rPr>
        <w:t>Le commissaire agréé contrôle si les données qui ont trait à l’estimation des risques importants (tels que le risque de liquidité et l’utilisation de l’effet de levier) ne présentent pas d’incohérences indéniables avec les données comptables et les inventaires dont il dispose dans le cadre de son audit</w:t>
      </w:r>
      <w:r w:rsidR="00893B80" w:rsidRPr="00CE3B22">
        <w:rPr>
          <w:szCs w:val="22"/>
          <w:lang w:val="fr-FR"/>
        </w:rPr>
        <w:t>.</w:t>
      </w:r>
    </w:p>
    <w:p w14:paraId="1BE752F9" w14:textId="188D0B50" w:rsidR="00893B80" w:rsidRPr="00CE3B22" w:rsidRDefault="00CE3B22" w:rsidP="00CE3B22">
      <w:pPr>
        <w:pStyle w:val="ListParagraph"/>
        <w:numPr>
          <w:ilvl w:val="0"/>
          <w:numId w:val="16"/>
        </w:numPr>
        <w:jc w:val="both"/>
        <w:rPr>
          <w:szCs w:val="22"/>
          <w:lang w:val="fr-FR"/>
        </w:rPr>
      </w:pPr>
      <w:r w:rsidRPr="00CE3B22">
        <w:rPr>
          <w:szCs w:val="22"/>
          <w:lang w:val="fr-FR"/>
        </w:rPr>
        <w:t>Le commissaire agréé s’assure en particulier que la liquidité des investissements, sur la base de sa connaissance du portefeuille et compte tenu de la réglementation, n’est pas significativement ou systématiquement estimée de manière erronée dans les états périodiques. Si le commissaire agréé identifie pour certains instruments un risque de liquidité qu’il estime important, il s’assure que cela est correctement reflété dans les états périodiques. Le commissaire agréé valide également si des mouvements significatifs se sont produits au niveau des porteurs de parts de l’OPC au cours de la période comptable faisant l’objet de son examen. Le commissaire agréé est en outre censé faire rapport à la FSMA s’il constate des problèmes de liquidité significatifs</w:t>
      </w:r>
      <w:r>
        <w:rPr>
          <w:szCs w:val="22"/>
          <w:lang w:val="fr-FR"/>
        </w:rPr>
        <w:t>.</w:t>
      </w:r>
    </w:p>
    <w:p w14:paraId="4934D506" w14:textId="5E5CF2ED" w:rsidR="00CE3B22" w:rsidRPr="00CE3B22" w:rsidRDefault="00CE3B22" w:rsidP="00CE3B22">
      <w:pPr>
        <w:pStyle w:val="ListParagraph"/>
        <w:numPr>
          <w:ilvl w:val="0"/>
          <w:numId w:val="16"/>
        </w:numPr>
        <w:jc w:val="both"/>
        <w:rPr>
          <w:szCs w:val="22"/>
          <w:lang w:val="fr-FR"/>
        </w:rPr>
      </w:pPr>
      <w:r w:rsidRPr="00CE3B22">
        <w:rPr>
          <w:szCs w:val="22"/>
          <w:lang w:val="fr-FR"/>
        </w:rPr>
        <w:t>En ce qui concerne les méthodologies et les modèles utilisés par l’OPC pour calculer certaines données, le commissaire agréé vérifie – sur la base des données comptables et des inventaires dont il dispose déjà dans le cadre de son audit – si tous les emprunts, toutes les positions du portefeuille d’investissement, y compris les liquidités et les transactions sur instruments financiers dérivés, ainsi que les opérations de financement de titres et les remplois du collatéral, sont correctement et complètement pris en compte pour le calcul des paramètres de l’effet de levier (</w:t>
      </w:r>
      <w:proofErr w:type="spellStart"/>
      <w:r w:rsidRPr="00CE3B22">
        <w:rPr>
          <w:szCs w:val="22"/>
          <w:lang w:val="fr-FR"/>
        </w:rPr>
        <w:t>leverage</w:t>
      </w:r>
      <w:proofErr w:type="spellEnd"/>
      <w:r w:rsidRPr="00CE3B22">
        <w:rPr>
          <w:szCs w:val="22"/>
          <w:lang w:val="fr-FR"/>
        </w:rPr>
        <w:t xml:space="preserve"> ratio) et du risque global (global </w:t>
      </w:r>
      <w:proofErr w:type="spellStart"/>
      <w:r w:rsidRPr="00CE3B22">
        <w:rPr>
          <w:szCs w:val="22"/>
          <w:lang w:val="fr-FR"/>
        </w:rPr>
        <w:t>exposure</w:t>
      </w:r>
      <w:proofErr w:type="spellEnd"/>
      <w:r w:rsidRPr="00CE3B22">
        <w:rPr>
          <w:szCs w:val="22"/>
          <w:lang w:val="fr-FR"/>
        </w:rPr>
        <w:t>). Le commissaire agréé ne valide ni les modèles internes, ni les hypothèses supplémentaires retenues par l’OPC</w:t>
      </w:r>
      <w:r>
        <w:rPr>
          <w:szCs w:val="22"/>
          <w:lang w:val="fr-FR"/>
        </w:rPr>
        <w:t>.</w:t>
      </w:r>
    </w:p>
    <w:p w14:paraId="490DC371" w14:textId="03689EF6" w:rsidR="00893B80" w:rsidRPr="007B27AE" w:rsidRDefault="007B27AE" w:rsidP="007B27AE">
      <w:pPr>
        <w:pStyle w:val="ListParagraph"/>
        <w:numPr>
          <w:ilvl w:val="0"/>
          <w:numId w:val="16"/>
        </w:numPr>
        <w:jc w:val="both"/>
        <w:rPr>
          <w:szCs w:val="22"/>
          <w:lang w:val="nl-BE"/>
        </w:rPr>
      </w:pPr>
      <w:r w:rsidRPr="007B27AE">
        <w:rPr>
          <w:szCs w:val="22"/>
          <w:lang w:val="fr-FR"/>
        </w:rPr>
        <w:lastRenderedPageBreak/>
        <w:t xml:space="preserve">Le commissaire agréé contrôle si l’ensemble des données est raisonnablement cohérent sur le plan interne. </w:t>
      </w:r>
      <w:r w:rsidRPr="007B27AE">
        <w:rPr>
          <w:szCs w:val="22"/>
          <w:lang w:val="nl-BE"/>
        </w:rPr>
        <w:t xml:space="preserve">Plus </w:t>
      </w:r>
      <w:proofErr w:type="spellStart"/>
      <w:r w:rsidRPr="007B27AE">
        <w:rPr>
          <w:szCs w:val="22"/>
          <w:lang w:val="nl-BE"/>
        </w:rPr>
        <w:t>spécifiquemen</w:t>
      </w:r>
      <w:r w:rsidR="00A94973">
        <w:rPr>
          <w:szCs w:val="22"/>
          <w:lang w:val="nl-BE"/>
        </w:rPr>
        <w:t>t</w:t>
      </w:r>
      <w:proofErr w:type="spellEnd"/>
      <w:r w:rsidR="00A94973">
        <w:rPr>
          <w:szCs w:val="22"/>
          <w:lang w:val="nl-BE"/>
        </w:rPr>
        <w:t>:</w:t>
      </w:r>
    </w:p>
    <w:p w14:paraId="300FA031" w14:textId="70E54D71" w:rsidR="00893B80" w:rsidRPr="00525C28" w:rsidRDefault="007B27AE" w:rsidP="007B27AE">
      <w:pPr>
        <w:pStyle w:val="ListParagraph"/>
        <w:numPr>
          <w:ilvl w:val="1"/>
          <w:numId w:val="17"/>
        </w:numPr>
        <w:ind w:left="1416" w:hanging="696"/>
        <w:jc w:val="both"/>
        <w:rPr>
          <w:szCs w:val="22"/>
          <w:lang w:val="fr-FR"/>
        </w:rPr>
      </w:pPr>
      <w:r w:rsidRPr="00525C28">
        <w:rPr>
          <w:szCs w:val="22"/>
          <w:lang w:val="fr-FR"/>
        </w:rPr>
        <w:t>le commissaire agréé vérifie s’il existe une cohérence raisonnable entre l’effet de levier (</w:t>
      </w:r>
      <w:proofErr w:type="spellStart"/>
      <w:r w:rsidRPr="00525C28">
        <w:rPr>
          <w:szCs w:val="22"/>
          <w:lang w:val="fr-FR"/>
        </w:rPr>
        <w:t>leverage</w:t>
      </w:r>
      <w:proofErr w:type="spellEnd"/>
      <w:r w:rsidRPr="00525C28">
        <w:rPr>
          <w:szCs w:val="22"/>
          <w:lang w:val="fr-FR"/>
        </w:rPr>
        <w:t xml:space="preserve"> ratio), le risque global (global </w:t>
      </w:r>
      <w:proofErr w:type="spellStart"/>
      <w:r w:rsidRPr="00525C28">
        <w:rPr>
          <w:szCs w:val="22"/>
          <w:lang w:val="fr-FR"/>
        </w:rPr>
        <w:t>exposure</w:t>
      </w:r>
      <w:proofErr w:type="spellEnd"/>
      <w:r w:rsidRPr="00525C28">
        <w:rPr>
          <w:szCs w:val="22"/>
          <w:lang w:val="fr-FR"/>
        </w:rPr>
        <w:t>), les expositions individuelles (en particulier l’exposition aux instruments financiers dérivés), l’actif net total (NAV) et les actifs sous gestion (AUM</w:t>
      </w:r>
      <w:r w:rsidR="00893B80" w:rsidRPr="00525C28">
        <w:rPr>
          <w:szCs w:val="22"/>
          <w:lang w:val="fr-FR"/>
        </w:rPr>
        <w:t>);</w:t>
      </w:r>
      <w:r w:rsidR="00A94973">
        <w:rPr>
          <w:szCs w:val="22"/>
          <w:lang w:val="fr-FR"/>
        </w:rPr>
        <w:t xml:space="preserve"> et</w:t>
      </w:r>
    </w:p>
    <w:p w14:paraId="4167241A" w14:textId="41488E32" w:rsidR="00000E35" w:rsidRPr="009B1A07" w:rsidRDefault="00525C28" w:rsidP="00525C28">
      <w:pPr>
        <w:pStyle w:val="ListParagraph"/>
        <w:numPr>
          <w:ilvl w:val="1"/>
          <w:numId w:val="17"/>
        </w:numPr>
        <w:ind w:left="1416" w:hanging="696"/>
        <w:jc w:val="both"/>
        <w:rPr>
          <w:szCs w:val="22"/>
          <w:lang w:val="fr-FR"/>
        </w:rPr>
      </w:pPr>
      <w:r w:rsidRPr="00525C28">
        <w:rPr>
          <w:szCs w:val="22"/>
          <w:lang w:val="fr-FR"/>
        </w:rPr>
        <w:t>le commissaire agréé vérifie s’il existe une cohérence raisonnable à la fois entre les données de</w:t>
      </w:r>
      <w:r>
        <w:rPr>
          <w:szCs w:val="22"/>
          <w:lang w:val="fr-FR"/>
        </w:rPr>
        <w:t xml:space="preserve"> </w:t>
      </w:r>
      <w:r w:rsidRPr="00525C28">
        <w:rPr>
          <w:szCs w:val="22"/>
          <w:lang w:val="fr-FR"/>
        </w:rPr>
        <w:t>chaque tableau des états périodiques et entre les tableaux des états périodiques. Il prend notamment en compte l’actif net total (NAV) et les actifs sous gestion (AUM), les souscriptions et les rachats, ainsi que les investissements dans les différents actifs (catégories) ou les expositions à ceux-ci</w:t>
      </w:r>
      <w:r w:rsidR="00165E22" w:rsidRPr="009B1A07">
        <w:rPr>
          <w:szCs w:val="22"/>
          <w:lang w:val="fr-FR"/>
        </w:rPr>
        <w:t>.</w:t>
      </w:r>
    </w:p>
    <w:p w14:paraId="480DC994" w14:textId="77777777" w:rsidR="00000E35" w:rsidRPr="009B1A07" w:rsidRDefault="00000E35" w:rsidP="00AF0530">
      <w:pPr>
        <w:jc w:val="both"/>
        <w:rPr>
          <w:rFonts w:eastAsia="MingLiU"/>
          <w:b/>
          <w:bCs/>
          <w:szCs w:val="22"/>
          <w:lang w:val="fr-FR"/>
        </w:rPr>
      </w:pPr>
    </w:p>
    <w:p w14:paraId="4E525D31" w14:textId="17B68376" w:rsidR="00B7088B" w:rsidRPr="00C82F20" w:rsidRDefault="00C82F20" w:rsidP="00AF0530">
      <w:pPr>
        <w:jc w:val="both"/>
        <w:rPr>
          <w:rFonts w:eastAsia="MingLiU"/>
          <w:b/>
          <w:bCs/>
          <w:i/>
          <w:iCs/>
          <w:szCs w:val="22"/>
          <w:lang w:val="fr-FR"/>
        </w:rPr>
      </w:pPr>
      <w:r w:rsidRPr="006968DF">
        <w:rPr>
          <w:b/>
          <w:i/>
          <w:szCs w:val="22"/>
          <w:lang w:val="fr-FR"/>
        </w:rPr>
        <w:t xml:space="preserve">Responsabilités de la direction effective relatives aux données </w:t>
      </w:r>
      <w:r>
        <w:rPr>
          <w:b/>
          <w:i/>
          <w:szCs w:val="22"/>
          <w:lang w:val="fr-FR"/>
        </w:rPr>
        <w:t>non-</w:t>
      </w:r>
      <w:r w:rsidRPr="006968DF">
        <w:rPr>
          <w:b/>
          <w:i/>
          <w:szCs w:val="22"/>
          <w:lang w:val="fr-FR"/>
        </w:rPr>
        <w:t xml:space="preserve">financières </w:t>
      </w:r>
      <w:r>
        <w:rPr>
          <w:b/>
          <w:i/>
          <w:szCs w:val="22"/>
          <w:lang w:val="fr-FR"/>
        </w:rPr>
        <w:t>incluses dans les statistiques</w:t>
      </w:r>
      <w:r w:rsidR="005E30F3" w:rsidRPr="00C82F20">
        <w:rPr>
          <w:rFonts w:eastAsia="MingLiU"/>
          <w:b/>
          <w:bCs/>
          <w:i/>
          <w:iCs/>
          <w:szCs w:val="22"/>
          <w:lang w:val="fr-FR"/>
        </w:rPr>
        <w:t xml:space="preserve"> </w:t>
      </w:r>
      <w:r w:rsidR="00165E22" w:rsidRPr="00C82F20">
        <w:rPr>
          <w:rFonts w:eastAsia="MingLiU"/>
          <w:b/>
          <w:bCs/>
          <w:i/>
          <w:iCs/>
          <w:szCs w:val="22"/>
          <w:lang w:val="fr-FR"/>
        </w:rPr>
        <w:t>AIF e</w:t>
      </w:r>
      <w:r>
        <w:rPr>
          <w:rFonts w:eastAsia="MingLiU"/>
          <w:b/>
          <w:bCs/>
          <w:i/>
          <w:iCs/>
          <w:szCs w:val="22"/>
          <w:lang w:val="fr-FR"/>
        </w:rPr>
        <w:t>t</w:t>
      </w:r>
      <w:r w:rsidR="00165E22" w:rsidRPr="00C82F20">
        <w:rPr>
          <w:rFonts w:eastAsia="MingLiU"/>
          <w:b/>
          <w:bCs/>
          <w:i/>
          <w:iCs/>
          <w:szCs w:val="22"/>
          <w:lang w:val="fr-FR"/>
        </w:rPr>
        <w:t xml:space="preserve"> CIS_SUP_1</w:t>
      </w:r>
    </w:p>
    <w:p w14:paraId="643EAC52" w14:textId="14EF7224" w:rsidR="00BD2CD1" w:rsidRDefault="00BD2CD1" w:rsidP="00AF0530">
      <w:pPr>
        <w:jc w:val="both"/>
        <w:rPr>
          <w:rFonts w:eastAsia="MingLiU"/>
          <w:b/>
          <w:bCs/>
          <w:szCs w:val="22"/>
          <w:lang w:val="fr-FR"/>
        </w:rPr>
      </w:pPr>
    </w:p>
    <w:p w14:paraId="40FA8B2C" w14:textId="51F72109" w:rsidR="00C82F20" w:rsidRPr="00C82F20" w:rsidRDefault="00C82F20" w:rsidP="00AF0530">
      <w:pPr>
        <w:jc w:val="both"/>
        <w:rPr>
          <w:rFonts w:eastAsia="MingLiU"/>
          <w:b/>
          <w:bCs/>
          <w:szCs w:val="22"/>
          <w:lang w:val="fr-FR"/>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009A5474" w:rsidRPr="009A5474">
        <w:rPr>
          <w:iCs/>
          <w:szCs w:val="22"/>
          <w:lang w:val="fr-FR" w:eastAsia="nl-NL"/>
        </w:rPr>
        <w:t>,</w:t>
      </w:r>
      <w:r w:rsidRPr="009A5474">
        <w:rPr>
          <w:iCs/>
          <w:szCs w:val="22"/>
          <w:lang w:val="fr-FR" w:eastAsia="nl-NL"/>
        </w:rPr>
        <w:t xml:space="preserve"> </w:t>
      </w:r>
      <w:r w:rsidRPr="006E4880">
        <w:rPr>
          <w:szCs w:val="22"/>
          <w:lang w:val="fr-FR" w:eastAsia="nl-NL"/>
        </w:rPr>
        <w:t xml:space="preserve">est responsable de l'établissement des statistiques </w:t>
      </w:r>
      <w:r w:rsidR="009A5474">
        <w:rPr>
          <w:szCs w:val="22"/>
          <w:lang w:val="fr-FR" w:eastAsia="nl-NL"/>
        </w:rPr>
        <w:t xml:space="preserve">AIF et CIS_SUP_1 </w:t>
      </w:r>
      <w:r w:rsidRPr="006E4880">
        <w:rPr>
          <w:szCs w:val="22"/>
          <w:lang w:val="fr-FR" w:eastAsia="nl-NL"/>
        </w:rPr>
        <w:t>conformément aux dispositions en vigueur de la FSMA, ainsi que de la mise en place du contrôle interne qu'elle juge nécessaire pour permettre l'établissement de statistiques ne comportant pas d'anomalies significatives, que celles-ci proviennent de fraudes ou résultent d'erreurs</w:t>
      </w:r>
      <w:r>
        <w:rPr>
          <w:szCs w:val="22"/>
          <w:lang w:val="fr-FR" w:eastAsia="nl-NL"/>
        </w:rPr>
        <w:t>.</w:t>
      </w:r>
    </w:p>
    <w:p w14:paraId="0E596AC5" w14:textId="77777777" w:rsidR="000D12A8" w:rsidRPr="00121304" w:rsidRDefault="000D12A8" w:rsidP="008111ED">
      <w:pPr>
        <w:jc w:val="both"/>
        <w:rPr>
          <w:b/>
          <w:bCs/>
          <w:iCs/>
          <w:szCs w:val="22"/>
          <w:lang w:val="fr-FR"/>
        </w:rPr>
      </w:pPr>
    </w:p>
    <w:p w14:paraId="1DFAD8E5" w14:textId="10BB3B93" w:rsidR="008111ED" w:rsidRPr="00922B58" w:rsidRDefault="00922B58" w:rsidP="008111ED">
      <w:pPr>
        <w:jc w:val="both"/>
        <w:rPr>
          <w:b/>
          <w:bCs/>
          <w:i/>
          <w:szCs w:val="22"/>
          <w:lang w:val="fr-FR"/>
        </w:rPr>
      </w:pPr>
      <w:r w:rsidRPr="00922B58">
        <w:rPr>
          <w:b/>
          <w:i/>
          <w:szCs w:val="22"/>
          <w:lang w:val="fr-FR"/>
        </w:rPr>
        <w:t xml:space="preserve">Responsabilités du commissaire relatives à la vérification des données </w:t>
      </w:r>
      <w:r>
        <w:rPr>
          <w:b/>
          <w:i/>
          <w:szCs w:val="22"/>
          <w:lang w:val="fr-FR"/>
        </w:rPr>
        <w:t>non-</w:t>
      </w:r>
      <w:r w:rsidRPr="00922B58">
        <w:rPr>
          <w:b/>
          <w:i/>
          <w:szCs w:val="22"/>
          <w:lang w:val="fr-FR"/>
        </w:rPr>
        <w:t>financières incluses dans les statistiques</w:t>
      </w:r>
      <w:r w:rsidR="00272B6D" w:rsidRPr="00922B58">
        <w:rPr>
          <w:b/>
          <w:bCs/>
          <w:i/>
          <w:szCs w:val="22"/>
          <w:lang w:val="fr-FR"/>
        </w:rPr>
        <w:t xml:space="preserve"> AIF</w:t>
      </w:r>
      <w:r w:rsidR="00D125EB" w:rsidRPr="00922B58">
        <w:rPr>
          <w:b/>
          <w:bCs/>
          <w:i/>
          <w:szCs w:val="22"/>
          <w:lang w:val="fr-FR"/>
        </w:rPr>
        <w:t xml:space="preserve"> e</w:t>
      </w:r>
      <w:r>
        <w:rPr>
          <w:b/>
          <w:bCs/>
          <w:i/>
          <w:szCs w:val="22"/>
          <w:lang w:val="fr-FR"/>
        </w:rPr>
        <w:t>t</w:t>
      </w:r>
      <w:r w:rsidR="00D125EB" w:rsidRPr="00922B58">
        <w:rPr>
          <w:b/>
          <w:bCs/>
          <w:i/>
          <w:szCs w:val="22"/>
          <w:lang w:val="fr-FR"/>
        </w:rPr>
        <w:t xml:space="preserve"> CIS_SUP_1</w:t>
      </w:r>
    </w:p>
    <w:p w14:paraId="3FA46DBB" w14:textId="77777777" w:rsidR="005E30F3" w:rsidRPr="00922B58" w:rsidRDefault="005E30F3" w:rsidP="00AF0530">
      <w:pPr>
        <w:jc w:val="both"/>
        <w:rPr>
          <w:iCs/>
          <w:szCs w:val="22"/>
          <w:lang w:val="fr-FR"/>
        </w:rPr>
      </w:pPr>
    </w:p>
    <w:p w14:paraId="38748651" w14:textId="0A459AD9" w:rsidR="00E96A73" w:rsidRPr="00A94973" w:rsidRDefault="004C4A0D" w:rsidP="00C10A2C">
      <w:pPr>
        <w:jc w:val="both"/>
        <w:rPr>
          <w:szCs w:val="22"/>
          <w:lang w:val="fr-FR"/>
        </w:rPr>
      </w:pPr>
      <w:r w:rsidRPr="00A94973">
        <w:rPr>
          <w:szCs w:val="22"/>
          <w:lang w:val="fr-FR"/>
        </w:rPr>
        <w:t xml:space="preserve">Nous avons évalué de façon critique </w:t>
      </w:r>
      <w:r w:rsidR="00C10A2C" w:rsidRPr="00A94973">
        <w:rPr>
          <w:szCs w:val="22"/>
          <w:lang w:val="fr-FR"/>
        </w:rPr>
        <w:t xml:space="preserve">les données non-financières incluses dans les statistiques </w:t>
      </w:r>
      <w:r w:rsidR="00E96A73" w:rsidRPr="00A94973">
        <w:rPr>
          <w:szCs w:val="22"/>
          <w:lang w:val="fr-FR"/>
        </w:rPr>
        <w:t>AIF e</w:t>
      </w:r>
      <w:r w:rsidR="00C10A2C" w:rsidRPr="00A94973">
        <w:rPr>
          <w:szCs w:val="22"/>
          <w:lang w:val="fr-FR"/>
        </w:rPr>
        <w:t>t</w:t>
      </w:r>
      <w:r w:rsidR="00E96A73" w:rsidRPr="00A94973">
        <w:rPr>
          <w:szCs w:val="22"/>
          <w:lang w:val="fr-FR"/>
        </w:rPr>
        <w:t xml:space="preserve"> CIS_SUP_1</w:t>
      </w:r>
      <w:r w:rsidR="00CD6880" w:rsidRPr="00A94973">
        <w:rPr>
          <w:szCs w:val="22"/>
          <w:lang w:val="fr-FR"/>
        </w:rPr>
        <w:t xml:space="preserve"> ainsi que</w:t>
      </w:r>
      <w:r w:rsidR="00C10A2C" w:rsidRPr="00A94973">
        <w:rPr>
          <w:szCs w:val="22"/>
          <w:lang w:val="fr-FR"/>
        </w:rPr>
        <w:t xml:space="preserve"> la documentation sur laquelle ces données sont basées</w:t>
      </w:r>
      <w:r w:rsidR="00CD6880" w:rsidRPr="00A94973">
        <w:rPr>
          <w:szCs w:val="22"/>
          <w:lang w:val="fr-FR"/>
        </w:rPr>
        <w:t xml:space="preserve"> et </w:t>
      </w:r>
      <w:r w:rsidR="00C10A2C" w:rsidRPr="00A94973">
        <w:rPr>
          <w:szCs w:val="22"/>
          <w:lang w:val="fr-FR"/>
        </w:rPr>
        <w:t>la conception des mesures de contrôle interne</w:t>
      </w:r>
      <w:r w:rsidR="00CD6880" w:rsidRPr="00A94973">
        <w:rPr>
          <w:szCs w:val="22"/>
          <w:lang w:val="fr-FR"/>
        </w:rPr>
        <w:t xml:space="preserve"> y relatives</w:t>
      </w:r>
      <w:r w:rsidR="00E96A73" w:rsidRPr="00A94973">
        <w:rPr>
          <w:szCs w:val="22"/>
          <w:lang w:val="fr-FR"/>
        </w:rPr>
        <w:t xml:space="preserve">. </w:t>
      </w:r>
      <w:r w:rsidR="00C10A2C" w:rsidRPr="00A94973">
        <w:rPr>
          <w:szCs w:val="22"/>
          <w:lang w:val="fr-FR"/>
        </w:rPr>
        <w:t xml:space="preserve">Nous nous sommes également appuyés sur la connaissance acquise et la documentation préparée dans le cadre du contrôle des comptes annuels et des statistiques de </w:t>
      </w:r>
      <w:r w:rsidR="00CD6880" w:rsidRPr="00A94973">
        <w:rPr>
          <w:szCs w:val="22"/>
          <w:lang w:val="fr-FR"/>
        </w:rPr>
        <w:t>l’</w:t>
      </w:r>
      <w:r w:rsidR="002644F9" w:rsidRPr="00A94973">
        <w:rPr>
          <w:szCs w:val="22"/>
          <w:lang w:val="fr-FR"/>
        </w:rPr>
        <w:t>OPC</w:t>
      </w:r>
      <w:r w:rsidR="00CD6880" w:rsidRPr="00A94973">
        <w:rPr>
          <w:szCs w:val="22"/>
          <w:lang w:val="fr-FR"/>
        </w:rPr>
        <w:t xml:space="preserve"> </w:t>
      </w:r>
      <w:r w:rsidR="00C10A2C" w:rsidRPr="00A94973">
        <w:rPr>
          <w:szCs w:val="22"/>
          <w:lang w:val="fr-FR"/>
        </w:rPr>
        <w:t>et de son système de contrôle interne</w:t>
      </w:r>
      <w:r w:rsidR="00E96A73" w:rsidRPr="00A94973">
        <w:rPr>
          <w:szCs w:val="22"/>
          <w:lang w:val="fr-FR"/>
        </w:rPr>
        <w:t>.</w:t>
      </w:r>
    </w:p>
    <w:p w14:paraId="57325AAE" w14:textId="77777777" w:rsidR="00165E22" w:rsidRPr="00A94973" w:rsidRDefault="00165E22" w:rsidP="00AF0530">
      <w:pPr>
        <w:jc w:val="both"/>
        <w:rPr>
          <w:szCs w:val="22"/>
          <w:lang w:val="fr-FR"/>
        </w:rPr>
      </w:pPr>
    </w:p>
    <w:p w14:paraId="6951A767" w14:textId="0F883CF6" w:rsidR="00E96A73" w:rsidRPr="00A94973" w:rsidRDefault="00AF6C65" w:rsidP="00AF6C65">
      <w:pPr>
        <w:jc w:val="both"/>
        <w:rPr>
          <w:lang w:val="fr-FR"/>
        </w:rPr>
      </w:pPr>
      <w:r w:rsidRPr="00A94973">
        <w:rPr>
          <w:lang w:val="fr-FR"/>
        </w:rPr>
        <w:t xml:space="preserve">En fonction des données répertoriées dans les statistiques AIF et CIS_SUP_1, </w:t>
      </w:r>
      <w:r w:rsidR="00CD6880" w:rsidRPr="00A94973">
        <w:rPr>
          <w:lang w:val="fr-FR"/>
        </w:rPr>
        <w:t>nos principales procédures mises en œuvre ont été les suivantes</w:t>
      </w:r>
      <w:r w:rsidR="00A94973">
        <w:rPr>
          <w:lang w:val="fr-FR"/>
        </w:rPr>
        <w:t> :</w:t>
      </w:r>
    </w:p>
    <w:p w14:paraId="7C9017FF" w14:textId="78976F6C" w:rsidR="00E96A73" w:rsidRPr="00A94973" w:rsidRDefault="00700626" w:rsidP="00E96A73">
      <w:pPr>
        <w:pStyle w:val="ListParagraph"/>
        <w:numPr>
          <w:ilvl w:val="0"/>
          <w:numId w:val="11"/>
        </w:numPr>
        <w:ind w:left="426" w:hanging="426"/>
        <w:jc w:val="both"/>
        <w:rPr>
          <w:bCs/>
          <w:iCs/>
          <w:szCs w:val="22"/>
          <w:lang w:val="fr-FR"/>
        </w:rPr>
      </w:pPr>
      <w:r w:rsidRPr="00A94973">
        <w:rPr>
          <w:bCs/>
          <w:iCs/>
          <w:szCs w:val="22"/>
          <w:lang w:val="fr-FR"/>
        </w:rPr>
        <w:t xml:space="preserve">La </w:t>
      </w:r>
      <w:r w:rsidR="002644F9" w:rsidRPr="00A94973">
        <w:rPr>
          <w:bCs/>
          <w:iCs/>
          <w:szCs w:val="22"/>
          <w:lang w:val="fr-FR"/>
        </w:rPr>
        <w:t xml:space="preserve">réconciliation </w:t>
      </w:r>
      <w:r w:rsidRPr="00A94973">
        <w:rPr>
          <w:bCs/>
          <w:iCs/>
          <w:szCs w:val="22"/>
          <w:lang w:val="fr-FR"/>
        </w:rPr>
        <w:t xml:space="preserve">des données </w:t>
      </w:r>
      <w:r w:rsidR="002644F9" w:rsidRPr="00A94973">
        <w:rPr>
          <w:bCs/>
          <w:iCs/>
          <w:szCs w:val="22"/>
          <w:lang w:val="fr-FR"/>
        </w:rPr>
        <w:t xml:space="preserve">et des </w:t>
      </w:r>
      <w:r w:rsidR="00F07681" w:rsidRPr="00A94973">
        <w:rPr>
          <w:bCs/>
          <w:iCs/>
          <w:szCs w:val="22"/>
          <w:lang w:val="fr-FR"/>
        </w:rPr>
        <w:t xml:space="preserve">paramètres </w:t>
      </w:r>
      <w:r w:rsidRPr="00A94973">
        <w:rPr>
          <w:bCs/>
          <w:iCs/>
          <w:szCs w:val="22"/>
          <w:lang w:val="fr-FR"/>
        </w:rPr>
        <w:t>d'identification</w:t>
      </w:r>
      <w:r w:rsidR="00F07681" w:rsidRPr="00A94973">
        <w:rPr>
          <w:bCs/>
          <w:iCs/>
          <w:szCs w:val="22"/>
          <w:lang w:val="fr-FR"/>
        </w:rPr>
        <w:t xml:space="preserve"> </w:t>
      </w:r>
      <w:r w:rsidRPr="00A94973">
        <w:rPr>
          <w:bCs/>
          <w:iCs/>
          <w:szCs w:val="22"/>
          <w:lang w:val="fr-FR"/>
        </w:rPr>
        <w:t>avec les informations mises à disposition par l'</w:t>
      </w:r>
      <w:r w:rsidR="002644F9" w:rsidRPr="00A94973">
        <w:rPr>
          <w:bCs/>
          <w:iCs/>
          <w:szCs w:val="22"/>
          <w:lang w:val="fr-FR"/>
        </w:rPr>
        <w:t>OPC</w:t>
      </w:r>
      <w:r w:rsidR="00A94973">
        <w:rPr>
          <w:bCs/>
          <w:iCs/>
          <w:szCs w:val="22"/>
          <w:lang w:val="fr-FR"/>
        </w:rPr>
        <w:t> ;</w:t>
      </w:r>
    </w:p>
    <w:p w14:paraId="3EF57BF6" w14:textId="649A7C11" w:rsidR="00E96A73" w:rsidRPr="00A94973" w:rsidRDefault="00654B24" w:rsidP="00E96A73">
      <w:pPr>
        <w:pStyle w:val="ListParagraph"/>
        <w:numPr>
          <w:ilvl w:val="0"/>
          <w:numId w:val="11"/>
        </w:numPr>
        <w:ind w:left="426" w:hanging="426"/>
        <w:jc w:val="both"/>
        <w:rPr>
          <w:bCs/>
          <w:iCs/>
          <w:szCs w:val="22"/>
          <w:lang w:val="fr-FR"/>
        </w:rPr>
      </w:pPr>
      <w:r w:rsidRPr="00A94973">
        <w:rPr>
          <w:bCs/>
          <w:iCs/>
          <w:szCs w:val="22"/>
          <w:lang w:val="fr-FR"/>
        </w:rPr>
        <w:t xml:space="preserve">La réconciliation des </w:t>
      </w:r>
      <w:r w:rsidR="002644F9" w:rsidRPr="00A94973">
        <w:rPr>
          <w:bCs/>
          <w:iCs/>
          <w:szCs w:val="22"/>
          <w:lang w:val="fr-FR"/>
        </w:rPr>
        <w:t xml:space="preserve">valeurs </w:t>
      </w:r>
      <w:r w:rsidRPr="00A94973">
        <w:rPr>
          <w:bCs/>
          <w:iCs/>
          <w:szCs w:val="22"/>
          <w:lang w:val="fr-FR"/>
        </w:rPr>
        <w:t xml:space="preserve">avec </w:t>
      </w:r>
      <w:r w:rsidR="002527ED" w:rsidRPr="00A94973">
        <w:rPr>
          <w:bCs/>
          <w:iCs/>
          <w:szCs w:val="22"/>
          <w:lang w:val="fr-FR"/>
        </w:rPr>
        <w:t xml:space="preserve">des données </w:t>
      </w:r>
      <w:r w:rsidRPr="00A94973">
        <w:rPr>
          <w:bCs/>
          <w:iCs/>
          <w:szCs w:val="22"/>
          <w:lang w:val="fr-FR"/>
        </w:rPr>
        <w:t>comptab</w:t>
      </w:r>
      <w:r w:rsidR="002527ED" w:rsidRPr="00A94973">
        <w:rPr>
          <w:bCs/>
          <w:iCs/>
          <w:szCs w:val="22"/>
          <w:lang w:val="fr-FR"/>
        </w:rPr>
        <w:t>les</w:t>
      </w:r>
      <w:r w:rsidRPr="00A94973">
        <w:rPr>
          <w:bCs/>
          <w:iCs/>
          <w:szCs w:val="22"/>
          <w:lang w:val="fr-FR"/>
        </w:rPr>
        <w:t xml:space="preserve"> </w:t>
      </w:r>
      <w:r w:rsidR="002527ED" w:rsidRPr="00A94973">
        <w:rPr>
          <w:bCs/>
          <w:iCs/>
          <w:szCs w:val="22"/>
          <w:lang w:val="fr-FR"/>
        </w:rPr>
        <w:t xml:space="preserve">ou des informations </w:t>
      </w:r>
      <w:r w:rsidR="002644F9" w:rsidRPr="00A94973">
        <w:rPr>
          <w:bCs/>
          <w:iCs/>
          <w:szCs w:val="22"/>
          <w:lang w:val="fr-FR"/>
        </w:rPr>
        <w:t xml:space="preserve">extraites des </w:t>
      </w:r>
      <w:r w:rsidRPr="00A94973">
        <w:rPr>
          <w:bCs/>
          <w:iCs/>
          <w:szCs w:val="22"/>
          <w:lang w:val="fr-FR"/>
        </w:rPr>
        <w:t xml:space="preserve">systèmes </w:t>
      </w:r>
      <w:r w:rsidR="002644F9" w:rsidRPr="00A94973">
        <w:rPr>
          <w:bCs/>
          <w:iCs/>
          <w:szCs w:val="22"/>
          <w:lang w:val="fr-FR"/>
        </w:rPr>
        <w:t xml:space="preserve">et applications utilisés pour la gestion </w:t>
      </w:r>
      <w:r w:rsidRPr="00A94973">
        <w:rPr>
          <w:bCs/>
          <w:iCs/>
          <w:szCs w:val="22"/>
          <w:lang w:val="fr-FR"/>
        </w:rPr>
        <w:t>de l’OPC</w:t>
      </w:r>
      <w:r w:rsidR="00A94973">
        <w:rPr>
          <w:bCs/>
          <w:iCs/>
          <w:szCs w:val="22"/>
          <w:lang w:val="fr-FR"/>
        </w:rPr>
        <w:t> ;</w:t>
      </w:r>
    </w:p>
    <w:p w14:paraId="1846FD17" w14:textId="2C445D9B" w:rsidR="00086B23" w:rsidRPr="00A94973" w:rsidRDefault="00B62C78" w:rsidP="00E96A73">
      <w:pPr>
        <w:pStyle w:val="ListParagraph"/>
        <w:numPr>
          <w:ilvl w:val="0"/>
          <w:numId w:val="11"/>
        </w:numPr>
        <w:ind w:left="426" w:hanging="426"/>
        <w:jc w:val="both"/>
        <w:rPr>
          <w:bCs/>
          <w:iCs/>
          <w:szCs w:val="22"/>
          <w:lang w:val="fr-FR"/>
        </w:rPr>
      </w:pPr>
      <w:r w:rsidRPr="00A94973">
        <w:rPr>
          <w:bCs/>
          <w:iCs/>
          <w:szCs w:val="22"/>
          <w:lang w:val="fr-FR"/>
        </w:rPr>
        <w:t xml:space="preserve">Le recalcul de certaines données sur base des données comptables ou </w:t>
      </w:r>
      <w:r w:rsidR="002644F9" w:rsidRPr="00A94973">
        <w:rPr>
          <w:bCs/>
          <w:iCs/>
          <w:szCs w:val="22"/>
          <w:lang w:val="fr-FR"/>
        </w:rPr>
        <w:t>des informations extraites des systèmes et applications utilisés pour la gestion de l’OPC</w:t>
      </w:r>
      <w:r w:rsidR="00F95869" w:rsidRPr="00A94973">
        <w:rPr>
          <w:bCs/>
          <w:iCs/>
          <w:szCs w:val="22"/>
          <w:lang w:val="fr-FR"/>
        </w:rPr>
        <w:t> ;</w:t>
      </w:r>
    </w:p>
    <w:p w14:paraId="22CE1DBF" w14:textId="15967F81" w:rsidR="00165E22" w:rsidRPr="00A94973" w:rsidRDefault="00CF224D" w:rsidP="00020AE5">
      <w:pPr>
        <w:pStyle w:val="ListParagraph"/>
        <w:numPr>
          <w:ilvl w:val="0"/>
          <w:numId w:val="11"/>
        </w:numPr>
        <w:ind w:left="426" w:hanging="426"/>
        <w:jc w:val="both"/>
        <w:rPr>
          <w:szCs w:val="22"/>
          <w:lang w:val="fr-FR"/>
        </w:rPr>
      </w:pPr>
      <w:r w:rsidRPr="00A94973">
        <w:rPr>
          <w:szCs w:val="22"/>
          <w:lang w:val="fr-FR"/>
        </w:rPr>
        <w:t xml:space="preserve">La vérification de la cohérence raisonnable </w:t>
      </w:r>
      <w:r w:rsidR="00020AE5" w:rsidRPr="00A94973">
        <w:rPr>
          <w:szCs w:val="22"/>
          <w:lang w:val="fr-FR"/>
        </w:rPr>
        <w:t>entre</w:t>
      </w:r>
      <w:r w:rsidR="00A73BFC" w:rsidRPr="00A94973">
        <w:rPr>
          <w:szCs w:val="22"/>
          <w:lang w:val="fr-FR"/>
        </w:rPr>
        <w:t xml:space="preserve"> la politique d’investissement et la composition du portefeuille d</w:t>
      </w:r>
      <w:r w:rsidR="002644F9" w:rsidRPr="00A94973">
        <w:rPr>
          <w:szCs w:val="22"/>
          <w:lang w:val="fr-FR"/>
        </w:rPr>
        <w:t>u (d</w:t>
      </w:r>
      <w:r w:rsidR="00A73BFC" w:rsidRPr="00A94973">
        <w:rPr>
          <w:szCs w:val="22"/>
          <w:lang w:val="fr-FR"/>
        </w:rPr>
        <w:t>es</w:t>
      </w:r>
      <w:r w:rsidR="002644F9" w:rsidRPr="00A94973">
        <w:rPr>
          <w:szCs w:val="22"/>
          <w:lang w:val="fr-FR"/>
        </w:rPr>
        <w:t>)</w:t>
      </w:r>
      <w:r w:rsidR="00A73BFC" w:rsidRPr="00A94973">
        <w:rPr>
          <w:szCs w:val="22"/>
          <w:lang w:val="fr-FR"/>
        </w:rPr>
        <w:t xml:space="preserve"> compartiment</w:t>
      </w:r>
      <w:r w:rsidR="002644F9" w:rsidRPr="00A94973">
        <w:rPr>
          <w:szCs w:val="22"/>
          <w:lang w:val="fr-FR"/>
        </w:rPr>
        <w:t>(</w:t>
      </w:r>
      <w:r w:rsidR="00A73BFC" w:rsidRPr="00A94973">
        <w:rPr>
          <w:szCs w:val="22"/>
          <w:lang w:val="fr-FR"/>
        </w:rPr>
        <w:t>s</w:t>
      </w:r>
      <w:r w:rsidR="002644F9" w:rsidRPr="00A94973">
        <w:rPr>
          <w:szCs w:val="22"/>
          <w:lang w:val="fr-FR"/>
        </w:rPr>
        <w:t>)</w:t>
      </w:r>
      <w:r w:rsidR="00A73BFC" w:rsidRPr="00A94973">
        <w:rPr>
          <w:szCs w:val="22"/>
          <w:lang w:val="fr-FR"/>
        </w:rPr>
        <w:t xml:space="preserve"> de l’OPC</w:t>
      </w:r>
      <w:r w:rsidR="00A94973">
        <w:rPr>
          <w:szCs w:val="22"/>
          <w:lang w:val="fr-FR"/>
        </w:rPr>
        <w:t> ;</w:t>
      </w:r>
      <w:r w:rsidR="00E96A73" w:rsidRPr="00A94973">
        <w:rPr>
          <w:bCs/>
          <w:iCs/>
          <w:szCs w:val="22"/>
          <w:lang w:val="fr-FR"/>
        </w:rPr>
        <w:t xml:space="preserve"> e</w:t>
      </w:r>
      <w:r w:rsidR="00020AE5" w:rsidRPr="00A94973">
        <w:rPr>
          <w:bCs/>
          <w:iCs/>
          <w:szCs w:val="22"/>
          <w:lang w:val="fr-FR"/>
        </w:rPr>
        <w:t>t</w:t>
      </w:r>
    </w:p>
    <w:p w14:paraId="07F50E89" w14:textId="0D728E4B" w:rsidR="00121304" w:rsidRPr="00A94973" w:rsidRDefault="00121304" w:rsidP="00E335AF">
      <w:pPr>
        <w:pStyle w:val="ListParagraph"/>
        <w:numPr>
          <w:ilvl w:val="0"/>
          <w:numId w:val="11"/>
        </w:numPr>
        <w:ind w:left="426" w:hanging="426"/>
        <w:jc w:val="both"/>
        <w:rPr>
          <w:szCs w:val="22"/>
          <w:lang w:val="fr-FR"/>
        </w:rPr>
      </w:pPr>
      <w:r w:rsidRPr="00A94973">
        <w:rPr>
          <w:szCs w:val="22"/>
          <w:lang w:val="fr-FR"/>
        </w:rPr>
        <w:t xml:space="preserve">La réconciliation des données incluses dans les statistiques avec un </w:t>
      </w:r>
      <w:r w:rsidR="002644F9" w:rsidRPr="00A94973">
        <w:rPr>
          <w:szCs w:val="22"/>
          <w:lang w:val="fr-FR"/>
        </w:rPr>
        <w:t xml:space="preserve">relevé </w:t>
      </w:r>
      <w:r w:rsidRPr="00A94973">
        <w:rPr>
          <w:szCs w:val="22"/>
          <w:lang w:val="fr-FR"/>
        </w:rPr>
        <w:t xml:space="preserve">ou les inventaires fournis par </w:t>
      </w:r>
      <w:r w:rsidRPr="00A94973">
        <w:rPr>
          <w:i/>
          <w:iCs/>
          <w:szCs w:val="22"/>
          <w:lang w:val="fr-FR"/>
        </w:rPr>
        <w:t>[« la direction effective » ou « le comité de direction », selon le cas]</w:t>
      </w:r>
      <w:r w:rsidRPr="00A94973">
        <w:rPr>
          <w:szCs w:val="22"/>
          <w:lang w:val="fr-FR"/>
        </w:rPr>
        <w:t xml:space="preserve"> de l’OPC.</w:t>
      </w:r>
    </w:p>
    <w:p w14:paraId="621D2E5E" w14:textId="77777777" w:rsidR="00165E22" w:rsidRPr="00BB53F9" w:rsidRDefault="00165E22" w:rsidP="00E96A73">
      <w:pPr>
        <w:jc w:val="both"/>
        <w:rPr>
          <w:bCs/>
          <w:iCs/>
          <w:szCs w:val="22"/>
          <w:lang w:val="fr-FR"/>
        </w:rPr>
      </w:pPr>
    </w:p>
    <w:p w14:paraId="70438DF6" w14:textId="5263CE62" w:rsidR="00E96A73" w:rsidRPr="00922B58" w:rsidRDefault="00922B58" w:rsidP="00E96A73">
      <w:pPr>
        <w:jc w:val="both"/>
        <w:rPr>
          <w:bCs/>
          <w:iCs/>
          <w:szCs w:val="22"/>
          <w:lang w:val="fr-FR"/>
        </w:rPr>
      </w:pPr>
      <w:r w:rsidRPr="001D1232">
        <w:rPr>
          <w:szCs w:val="22"/>
          <w:lang w:val="fr-FR"/>
        </w:rPr>
        <w:t>Nous estimons que les éléments probants que nous avons recueillis sont suffisants et appropriés pour fonder notre opinion</w:t>
      </w:r>
      <w:r w:rsidR="00E96A73" w:rsidRPr="00922B58">
        <w:rPr>
          <w:bCs/>
          <w:iCs/>
          <w:szCs w:val="22"/>
          <w:lang w:val="fr-FR"/>
        </w:rPr>
        <w:t>.</w:t>
      </w:r>
    </w:p>
    <w:p w14:paraId="3DCB9840" w14:textId="357CD452" w:rsidR="00B7088B" w:rsidRPr="00922B58" w:rsidRDefault="00B7088B" w:rsidP="00AF0530">
      <w:pPr>
        <w:jc w:val="both"/>
        <w:rPr>
          <w:szCs w:val="22"/>
          <w:lang w:val="fr-FR"/>
        </w:rPr>
      </w:pPr>
    </w:p>
    <w:p w14:paraId="7EA0C3F4" w14:textId="3730CBFE" w:rsidR="00E96A73" w:rsidRPr="0071744A" w:rsidRDefault="0071744A" w:rsidP="00E96A73">
      <w:pPr>
        <w:pStyle w:val="ListParagraph"/>
        <w:ind w:left="0"/>
        <w:rPr>
          <w:b/>
          <w:i/>
          <w:szCs w:val="22"/>
          <w:lang w:val="fr-FR"/>
        </w:rPr>
      </w:pPr>
      <w:r w:rsidRPr="0071744A">
        <w:rPr>
          <w:b/>
          <w:i/>
          <w:szCs w:val="22"/>
          <w:lang w:val="fr-FR"/>
        </w:rPr>
        <w:t>Limitations dans l’exécution de la mission</w:t>
      </w:r>
    </w:p>
    <w:p w14:paraId="1D929F4F" w14:textId="77777777" w:rsidR="00E96A73" w:rsidRPr="0071744A" w:rsidRDefault="00E96A73" w:rsidP="00E335AF">
      <w:pPr>
        <w:tabs>
          <w:tab w:val="num" w:pos="720"/>
        </w:tabs>
        <w:rPr>
          <w:szCs w:val="22"/>
          <w:lang w:val="fr-FR"/>
        </w:rPr>
      </w:pPr>
    </w:p>
    <w:p w14:paraId="1CF6521F" w14:textId="0BE1267D" w:rsidR="00E96A73" w:rsidRPr="00DD2C8C" w:rsidRDefault="00DD2C8C" w:rsidP="00E96A73">
      <w:pPr>
        <w:pStyle w:val="ListParagraph"/>
        <w:numPr>
          <w:ilvl w:val="0"/>
          <w:numId w:val="15"/>
        </w:numPr>
        <w:spacing w:before="120" w:after="120" w:line="240" w:lineRule="auto"/>
        <w:ind w:hanging="294"/>
        <w:contextualSpacing/>
        <w:rPr>
          <w:szCs w:val="22"/>
          <w:lang w:val="fr-FR"/>
        </w:rPr>
      </w:pPr>
      <w:r w:rsidRPr="00DD2C8C">
        <w:rPr>
          <w:szCs w:val="22"/>
          <w:lang w:val="fr-FR"/>
        </w:rPr>
        <w:t>nous n'avons pas évalué le caractère effectif du contrôle interne</w:t>
      </w:r>
      <w:r w:rsidR="00E96A73" w:rsidRPr="00DD2C8C">
        <w:rPr>
          <w:szCs w:val="22"/>
          <w:lang w:val="fr-FR"/>
        </w:rPr>
        <w:t>;</w:t>
      </w:r>
    </w:p>
    <w:p w14:paraId="30B9407C" w14:textId="77777777" w:rsidR="00E96A73" w:rsidRPr="00DD2C8C" w:rsidRDefault="00E96A73" w:rsidP="00E96A73">
      <w:pPr>
        <w:pStyle w:val="ListParagraph"/>
        <w:tabs>
          <w:tab w:val="num" w:pos="720"/>
        </w:tabs>
        <w:ind w:hanging="294"/>
        <w:rPr>
          <w:szCs w:val="22"/>
          <w:lang w:val="fr-FR"/>
        </w:rPr>
      </w:pPr>
    </w:p>
    <w:p w14:paraId="4DEBAAFD" w14:textId="5F0ADA39" w:rsidR="00E96A73" w:rsidRPr="005944B5" w:rsidRDefault="005944B5" w:rsidP="00E96A73">
      <w:pPr>
        <w:pStyle w:val="ListParagraph"/>
        <w:numPr>
          <w:ilvl w:val="0"/>
          <w:numId w:val="15"/>
        </w:numPr>
        <w:spacing w:before="120" w:after="120" w:line="240" w:lineRule="auto"/>
        <w:ind w:hanging="294"/>
        <w:contextualSpacing/>
        <w:rPr>
          <w:szCs w:val="22"/>
          <w:lang w:val="fr-FR"/>
        </w:rPr>
      </w:pPr>
      <w:r>
        <w:rPr>
          <w:szCs w:val="22"/>
          <w:lang w:val="fr-FR"/>
        </w:rPr>
        <w:t xml:space="preserve">nous n’avons pas validé </w:t>
      </w:r>
      <w:r w:rsidRPr="005944B5">
        <w:rPr>
          <w:szCs w:val="22"/>
          <w:lang w:val="fr-FR"/>
        </w:rPr>
        <w:t>les modèles internes, ni les hypothèses supplémentaires retenues par l’OPC</w:t>
      </w:r>
      <w:r w:rsidR="006B5E3A">
        <w:rPr>
          <w:rFonts w:cstheme="minorHAnsi"/>
          <w:lang w:val="gsw-FR"/>
        </w:rPr>
        <w:t>.</w:t>
      </w:r>
    </w:p>
    <w:p w14:paraId="650B92DC" w14:textId="77777777" w:rsidR="00E96A73" w:rsidRPr="005944B5" w:rsidRDefault="00E96A73" w:rsidP="00E96A73">
      <w:pPr>
        <w:pStyle w:val="ListParagraph"/>
        <w:tabs>
          <w:tab w:val="num" w:pos="720"/>
        </w:tabs>
        <w:ind w:hanging="294"/>
        <w:rPr>
          <w:szCs w:val="22"/>
          <w:lang w:val="fr-FR"/>
        </w:rPr>
      </w:pPr>
    </w:p>
    <w:p w14:paraId="080DF1CB" w14:textId="7976D8FD" w:rsidR="00E96A73" w:rsidRPr="005944B5" w:rsidRDefault="00E96A73" w:rsidP="00E96A73">
      <w:pPr>
        <w:pStyle w:val="ListParagraph"/>
        <w:numPr>
          <w:ilvl w:val="0"/>
          <w:numId w:val="15"/>
        </w:numPr>
        <w:spacing w:before="120" w:after="120" w:line="240" w:lineRule="auto"/>
        <w:ind w:hanging="294"/>
        <w:contextualSpacing/>
        <w:rPr>
          <w:szCs w:val="22"/>
          <w:lang w:val="fr-FR"/>
        </w:rPr>
      </w:pPr>
      <w:r w:rsidRPr="005944B5">
        <w:rPr>
          <w:i/>
          <w:szCs w:val="22"/>
          <w:lang w:val="fr-FR"/>
        </w:rPr>
        <w:lastRenderedPageBreak/>
        <w:t>[</w:t>
      </w:r>
      <w:r w:rsidR="00DD2C8C" w:rsidRPr="005944B5">
        <w:rPr>
          <w:i/>
          <w:szCs w:val="22"/>
          <w:lang w:val="fr-FR"/>
        </w:rPr>
        <w:t>à compléter avec d’autres limitations sur la base de l’appréciation professionnelle de la situation par le [« Commissaire » ou « Reviseur Agréé », selon le cas]</w:t>
      </w:r>
      <w:r w:rsidRPr="005944B5">
        <w:rPr>
          <w:szCs w:val="22"/>
          <w:lang w:val="fr-FR"/>
        </w:rPr>
        <w:t>.</w:t>
      </w:r>
    </w:p>
    <w:p w14:paraId="7A3B6B37" w14:textId="548D20C7" w:rsidR="00542B60" w:rsidRPr="005944B5" w:rsidRDefault="00542B60" w:rsidP="00B7088B">
      <w:pPr>
        <w:jc w:val="both"/>
        <w:rPr>
          <w:bCs/>
          <w:iCs/>
          <w:szCs w:val="22"/>
          <w:lang w:val="fr-FR"/>
        </w:rPr>
      </w:pPr>
    </w:p>
    <w:p w14:paraId="452F5F9D" w14:textId="6124EBA4" w:rsidR="00542B60" w:rsidRPr="009B1421" w:rsidRDefault="00CF351C" w:rsidP="00B7088B">
      <w:pPr>
        <w:jc w:val="both"/>
        <w:rPr>
          <w:b/>
          <w:i/>
          <w:szCs w:val="22"/>
          <w:lang w:val="fr-FR"/>
        </w:rPr>
      </w:pPr>
      <w:r w:rsidRPr="009B1421">
        <w:rPr>
          <w:b/>
          <w:i/>
          <w:szCs w:val="22"/>
          <w:lang w:val="fr-FR"/>
        </w:rPr>
        <w:t>Conclusi</w:t>
      </w:r>
      <w:r w:rsidR="00B5692D" w:rsidRPr="009B1421">
        <w:rPr>
          <w:b/>
          <w:i/>
          <w:szCs w:val="22"/>
          <w:lang w:val="fr-FR"/>
        </w:rPr>
        <w:t>on</w:t>
      </w:r>
    </w:p>
    <w:p w14:paraId="6E6A7105" w14:textId="546A69EB" w:rsidR="00CF351C" w:rsidRPr="009B1421" w:rsidRDefault="00CF351C" w:rsidP="00B7088B">
      <w:pPr>
        <w:jc w:val="both"/>
        <w:rPr>
          <w:bCs/>
          <w:iCs/>
          <w:szCs w:val="22"/>
          <w:lang w:val="fr-FR"/>
        </w:rPr>
      </w:pPr>
    </w:p>
    <w:p w14:paraId="63204EE4" w14:textId="412850C1" w:rsidR="009B1421" w:rsidRPr="009B1421" w:rsidRDefault="009B1421" w:rsidP="00B7088B">
      <w:pPr>
        <w:jc w:val="both"/>
        <w:rPr>
          <w:bCs/>
          <w:iCs/>
          <w:szCs w:val="22"/>
          <w:lang w:val="fr-FR"/>
        </w:rPr>
      </w:pPr>
      <w:r w:rsidRPr="009B1421">
        <w:rPr>
          <w:bCs/>
          <w:iCs/>
          <w:szCs w:val="22"/>
          <w:lang w:val="fr-FR"/>
        </w:rPr>
        <w:t>En conclusion de nos travaux, nous n’avons pas relevé de faits dont il apparaîtrait que le</w:t>
      </w:r>
      <w:r>
        <w:rPr>
          <w:bCs/>
          <w:iCs/>
          <w:szCs w:val="22"/>
          <w:lang w:val="fr-FR"/>
        </w:rPr>
        <w:t>s données non-financières incluses dans les statistiques AIF et CIS_SUP_1</w:t>
      </w:r>
      <w:r w:rsidRPr="009B1421">
        <w:rPr>
          <w:bCs/>
          <w:iCs/>
          <w:szCs w:val="22"/>
          <w:lang w:val="fr-FR"/>
        </w:rPr>
        <w:t xml:space="preserve"> n’</w:t>
      </w:r>
      <w:r>
        <w:rPr>
          <w:bCs/>
          <w:iCs/>
          <w:szCs w:val="22"/>
          <w:lang w:val="fr-FR"/>
        </w:rPr>
        <w:t>ont</w:t>
      </w:r>
      <w:r w:rsidRPr="009B1421">
        <w:rPr>
          <w:bCs/>
          <w:iCs/>
          <w:szCs w:val="22"/>
          <w:lang w:val="fr-FR"/>
        </w:rPr>
        <w:t xml:space="preserve"> pas été établi</w:t>
      </w:r>
      <w:r>
        <w:rPr>
          <w:bCs/>
          <w:iCs/>
          <w:szCs w:val="22"/>
          <w:lang w:val="fr-FR"/>
        </w:rPr>
        <w:t>es</w:t>
      </w:r>
      <w:r w:rsidRPr="009B1421">
        <w:rPr>
          <w:bCs/>
          <w:iCs/>
          <w:szCs w:val="22"/>
          <w:lang w:val="fr-FR"/>
        </w:rPr>
        <w:t xml:space="preserve">, </w:t>
      </w:r>
      <w:r w:rsidRPr="00757BBA">
        <w:rPr>
          <w:szCs w:val="22"/>
          <w:lang w:val="fr-FR"/>
        </w:rPr>
        <w:t>sous tous égards significativement importants</w:t>
      </w:r>
      <w:r>
        <w:rPr>
          <w:bCs/>
          <w:iCs/>
          <w:szCs w:val="22"/>
          <w:lang w:val="fr-FR"/>
        </w:rPr>
        <w:t xml:space="preserve">, </w:t>
      </w:r>
      <w:r w:rsidRPr="006E4880">
        <w:rPr>
          <w:szCs w:val="22"/>
          <w:lang w:val="fr-FR" w:eastAsia="nl-NL"/>
        </w:rPr>
        <w:t>conformément aux dispositions en vigueur de la FSMA</w:t>
      </w:r>
      <w:r>
        <w:rPr>
          <w:szCs w:val="22"/>
          <w:lang w:val="fr-FR" w:eastAsia="nl-NL"/>
        </w:rPr>
        <w:t>.</w:t>
      </w:r>
    </w:p>
    <w:p w14:paraId="5907BE4A" w14:textId="77777777" w:rsidR="009B1421" w:rsidRPr="009B1421" w:rsidRDefault="009B1421" w:rsidP="00B7088B">
      <w:pPr>
        <w:jc w:val="both"/>
        <w:rPr>
          <w:bCs/>
          <w:iCs/>
          <w:szCs w:val="22"/>
          <w:lang w:val="fr-FR"/>
        </w:rPr>
      </w:pPr>
    </w:p>
    <w:p w14:paraId="36FB66F5" w14:textId="42AEDF65" w:rsidR="00175269" w:rsidRPr="00B5692D" w:rsidRDefault="00B5692D" w:rsidP="00175269">
      <w:pPr>
        <w:jc w:val="both"/>
        <w:rPr>
          <w:szCs w:val="22"/>
          <w:lang w:val="fr-FR"/>
        </w:rPr>
      </w:pPr>
      <w:r w:rsidRPr="00B5692D">
        <w:rPr>
          <w:szCs w:val="22"/>
          <w:lang w:val="fr-FR"/>
        </w:rPr>
        <w:t xml:space="preserve">L’opinion et les confirmations complémentaires portent sur les statistiques de </w:t>
      </w:r>
      <w:r w:rsidRPr="00B5692D">
        <w:rPr>
          <w:i/>
          <w:szCs w:val="22"/>
          <w:lang w:val="fr-FR" w:eastAsia="nl-NL"/>
        </w:rPr>
        <w:t>[identification de l'institution]</w:t>
      </w:r>
      <w:r w:rsidRPr="00B5692D">
        <w:rPr>
          <w:szCs w:val="22"/>
          <w:lang w:val="fr-FR"/>
        </w:rPr>
        <w:t xml:space="preserve"> et de chacun de ses compartiments</w:t>
      </w:r>
      <w:r w:rsidR="00175269" w:rsidRPr="00B5692D">
        <w:rPr>
          <w:szCs w:val="22"/>
          <w:lang w:val="fr-FR"/>
        </w:rPr>
        <w:t>.</w:t>
      </w:r>
    </w:p>
    <w:p w14:paraId="0D8696F6" w14:textId="54343C26" w:rsidR="00435493" w:rsidRPr="00B5692D" w:rsidRDefault="00435493" w:rsidP="00435493">
      <w:pPr>
        <w:jc w:val="both"/>
        <w:rPr>
          <w:b/>
          <w:i/>
          <w:szCs w:val="22"/>
          <w:lang w:val="fr-FR"/>
        </w:rPr>
      </w:pPr>
    </w:p>
    <w:p w14:paraId="72F4662D" w14:textId="77777777" w:rsidR="00E767A1" w:rsidRPr="00B5692D" w:rsidRDefault="00E767A1" w:rsidP="00435493">
      <w:pPr>
        <w:jc w:val="both"/>
        <w:rPr>
          <w:b/>
          <w:i/>
          <w:szCs w:val="22"/>
          <w:lang w:val="fr-FR"/>
        </w:rPr>
      </w:pPr>
    </w:p>
    <w:p w14:paraId="3B3B0A06" w14:textId="60DE924F" w:rsidR="00435493" w:rsidRPr="00B5692D" w:rsidRDefault="00B5692D" w:rsidP="00E335AF">
      <w:pPr>
        <w:pStyle w:val="ListParagraph"/>
        <w:numPr>
          <w:ilvl w:val="0"/>
          <w:numId w:val="9"/>
        </w:numPr>
        <w:ind w:left="284" w:hanging="284"/>
        <w:jc w:val="both"/>
        <w:rPr>
          <w:b/>
          <w:iCs/>
          <w:szCs w:val="22"/>
          <w:lang w:val="fr-FR"/>
        </w:rPr>
      </w:pPr>
      <w:r w:rsidRPr="00B5692D">
        <w:rPr>
          <w:b/>
          <w:iCs/>
          <w:szCs w:val="22"/>
          <w:lang w:val="fr-FR"/>
        </w:rPr>
        <w:t>Restrictions d’utilisation et de distribution du présent rapport</w:t>
      </w:r>
    </w:p>
    <w:p w14:paraId="62FC6816" w14:textId="77777777" w:rsidR="00435493" w:rsidRPr="00B5692D" w:rsidRDefault="00435493" w:rsidP="00435493">
      <w:pPr>
        <w:jc w:val="both"/>
        <w:rPr>
          <w:b/>
          <w:i/>
          <w:szCs w:val="22"/>
          <w:lang w:val="fr-FR"/>
        </w:rPr>
      </w:pPr>
    </w:p>
    <w:p w14:paraId="5ACD8F83" w14:textId="70C3CBAC" w:rsidR="001F29ED" w:rsidRPr="001F29ED" w:rsidRDefault="001F29ED" w:rsidP="001F29ED">
      <w:pPr>
        <w:jc w:val="both"/>
        <w:rPr>
          <w:szCs w:val="22"/>
          <w:lang w:val="fr-FR"/>
        </w:rPr>
      </w:pPr>
      <w:r w:rsidRPr="001F29ED">
        <w:rPr>
          <w:szCs w:val="22"/>
          <w:lang w:val="fr-FR"/>
        </w:rPr>
        <w:t xml:space="preserve">Les statistiques ont été établies pour satisfaire aux exigences de la FSMA en matière de </w:t>
      </w:r>
      <w:proofErr w:type="spellStart"/>
      <w:r w:rsidRPr="001F29ED">
        <w:rPr>
          <w:szCs w:val="22"/>
          <w:lang w:val="fr-FR"/>
        </w:rPr>
        <w:t>reporting</w:t>
      </w:r>
      <w:proofErr w:type="spellEnd"/>
      <w:r w:rsidRPr="001F29ED">
        <w:rPr>
          <w:szCs w:val="22"/>
          <w:lang w:val="fr-FR"/>
        </w:rPr>
        <w:t xml:space="preserve"> périodique. En conséquence, les statistiques peuvent ne pas convenir pour répondre à un autre objectif.</w:t>
      </w:r>
    </w:p>
    <w:p w14:paraId="1B077134" w14:textId="77777777" w:rsidR="001F29ED" w:rsidRPr="001F29ED" w:rsidRDefault="001F29ED" w:rsidP="001F29ED">
      <w:pPr>
        <w:jc w:val="both"/>
        <w:rPr>
          <w:szCs w:val="22"/>
          <w:lang w:val="fr-FR"/>
        </w:rPr>
      </w:pPr>
    </w:p>
    <w:p w14:paraId="078E9EDA" w14:textId="688BF906" w:rsidR="001F29ED" w:rsidRPr="001F29ED" w:rsidRDefault="001F29ED" w:rsidP="001F29ED">
      <w:pPr>
        <w:jc w:val="both"/>
        <w:rPr>
          <w:szCs w:val="22"/>
          <w:lang w:val="fr-FR"/>
        </w:rPr>
      </w:pPr>
      <w:r w:rsidRPr="001F29ED">
        <w:rPr>
          <w:szCs w:val="22"/>
          <w:lang w:val="fr-FR"/>
        </w:rPr>
        <w:t xml:space="preserve">Le présent rapport s’inscrit dans le cadre de la collaboration des </w:t>
      </w:r>
      <w:r>
        <w:rPr>
          <w:szCs w:val="22"/>
          <w:lang w:val="fr-FR"/>
        </w:rPr>
        <w:t>r</w:t>
      </w:r>
      <w:r w:rsidRPr="001F29ED">
        <w:rPr>
          <w:szCs w:val="22"/>
          <w:lang w:val="fr-FR"/>
        </w:rPr>
        <w:t xml:space="preserve">eviseurs </w:t>
      </w:r>
      <w:r>
        <w:rPr>
          <w:szCs w:val="22"/>
          <w:lang w:val="fr-FR"/>
        </w:rPr>
        <w:t>a</w:t>
      </w:r>
      <w:r w:rsidRPr="001F29ED">
        <w:rPr>
          <w:szCs w:val="22"/>
          <w:lang w:val="fr-FR"/>
        </w:rPr>
        <w:t>gréés</w:t>
      </w:r>
      <w:r>
        <w:rPr>
          <w:szCs w:val="22"/>
          <w:lang w:val="fr-FR"/>
        </w:rPr>
        <w:t xml:space="preserve"> </w:t>
      </w:r>
      <w:r w:rsidRPr="001F29ED">
        <w:rPr>
          <w:szCs w:val="22"/>
          <w:lang w:val="fr-FR"/>
        </w:rPr>
        <w:t>au contrôle exercé par la FSMA et ne peut être utilisé à aucune autre fin.</w:t>
      </w:r>
    </w:p>
    <w:p w14:paraId="0570C533" w14:textId="77777777" w:rsidR="001F29ED" w:rsidRPr="001F29ED" w:rsidRDefault="001F29ED" w:rsidP="001F29ED">
      <w:pPr>
        <w:jc w:val="both"/>
        <w:rPr>
          <w:szCs w:val="22"/>
          <w:lang w:val="fr-FR"/>
        </w:rPr>
      </w:pPr>
    </w:p>
    <w:p w14:paraId="646FBC8C" w14:textId="5CDD3A7D" w:rsidR="001F29ED" w:rsidRPr="001F29ED" w:rsidRDefault="001F29ED" w:rsidP="001F29ED">
      <w:pPr>
        <w:jc w:val="both"/>
        <w:rPr>
          <w:szCs w:val="22"/>
          <w:lang w:val="fr-FR"/>
        </w:rPr>
      </w:pPr>
      <w:r w:rsidRPr="001F29ED">
        <w:rPr>
          <w:szCs w:val="22"/>
          <w:lang w:val="fr-FR"/>
        </w:rPr>
        <w:t xml:space="preserve">Une copie de ce rapport a été communiquée </w:t>
      </w:r>
      <w:r w:rsidRPr="001F29ED">
        <w:rPr>
          <w:i/>
          <w:iCs/>
          <w:szCs w:val="22"/>
          <w:lang w:val="fr-FR"/>
        </w:rPr>
        <w:t>[« à la direction effective » ou « aux administrateurs », selon le cas]</w:t>
      </w:r>
      <w:r w:rsidRPr="001F29ED">
        <w:rPr>
          <w:szCs w:val="22"/>
          <w:lang w:val="fr-FR"/>
        </w:rPr>
        <w:t>. Nous attirons l’attention sur le fait que ce rapport ne peut être communiqué (dans son entièreté ou en partie) à des tiers sans notre autorisation formelle préalable</w:t>
      </w:r>
      <w:r>
        <w:rPr>
          <w:szCs w:val="22"/>
          <w:lang w:val="fr-FR"/>
        </w:rPr>
        <w:t>.</w:t>
      </w:r>
    </w:p>
    <w:p w14:paraId="573BA93A" w14:textId="2E19A90D" w:rsidR="00A847DB" w:rsidRPr="00121304" w:rsidRDefault="00A847DB" w:rsidP="00AF0530">
      <w:pPr>
        <w:jc w:val="both"/>
        <w:rPr>
          <w:szCs w:val="22"/>
          <w:lang w:val="fr-FR"/>
        </w:rPr>
      </w:pPr>
    </w:p>
    <w:p w14:paraId="297710D2" w14:textId="77777777" w:rsidR="001F29ED" w:rsidRPr="00121304" w:rsidRDefault="001F29ED" w:rsidP="00AF0530">
      <w:pPr>
        <w:jc w:val="both"/>
        <w:rPr>
          <w:szCs w:val="22"/>
          <w:lang w:val="fr-FR"/>
        </w:rPr>
      </w:pPr>
    </w:p>
    <w:p w14:paraId="3318033E" w14:textId="66FBA83B" w:rsidR="00292B7B" w:rsidRPr="00121304" w:rsidRDefault="00292B7B" w:rsidP="00AF0530">
      <w:pPr>
        <w:jc w:val="both"/>
        <w:rPr>
          <w:i/>
          <w:szCs w:val="22"/>
          <w:lang w:val="fr-FR"/>
        </w:rPr>
      </w:pPr>
    </w:p>
    <w:p w14:paraId="5F71D7B1" w14:textId="77777777" w:rsidR="001A62FA" w:rsidRPr="00121304" w:rsidRDefault="001A62FA" w:rsidP="00AF0530">
      <w:pPr>
        <w:jc w:val="both"/>
        <w:rPr>
          <w:i/>
          <w:szCs w:val="22"/>
          <w:lang w:val="fr-FR"/>
        </w:rPr>
      </w:pPr>
    </w:p>
    <w:p w14:paraId="4F7B3CDF" w14:textId="77777777" w:rsidR="00292B7B" w:rsidRPr="00121304" w:rsidRDefault="00292B7B" w:rsidP="00AF0530">
      <w:pPr>
        <w:jc w:val="both"/>
        <w:rPr>
          <w:i/>
          <w:szCs w:val="22"/>
          <w:lang w:val="fr-FR"/>
        </w:rPr>
      </w:pPr>
    </w:p>
    <w:p w14:paraId="53B242BE" w14:textId="71522CC5" w:rsidR="00A41904" w:rsidRDefault="00A41904" w:rsidP="00A41904">
      <w:pPr>
        <w:rPr>
          <w:i/>
          <w:iCs/>
          <w:szCs w:val="22"/>
          <w:lang w:val="fr-BE"/>
        </w:rPr>
      </w:pPr>
      <w:r w:rsidRPr="006E4880">
        <w:rPr>
          <w:i/>
          <w:iCs/>
          <w:szCs w:val="22"/>
          <w:lang w:val="fr-BE"/>
        </w:rPr>
        <w:t>[Lieu d’établissement, date et signature</w:t>
      </w:r>
    </w:p>
    <w:p w14:paraId="788C733B" w14:textId="77777777" w:rsidR="00A41904" w:rsidRPr="006E4880" w:rsidRDefault="00A41904" w:rsidP="00A41904">
      <w:pPr>
        <w:rPr>
          <w:i/>
          <w:iCs/>
          <w:szCs w:val="22"/>
          <w:lang w:val="fr-BE"/>
        </w:rPr>
      </w:pPr>
    </w:p>
    <w:p w14:paraId="78B766C9" w14:textId="3F2D8D67" w:rsidR="00A41904" w:rsidRDefault="00A41904" w:rsidP="00A41904">
      <w:pPr>
        <w:rPr>
          <w:i/>
          <w:iCs/>
          <w:szCs w:val="22"/>
          <w:lang w:val="fr-FR"/>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19682B5" w14:textId="77777777" w:rsidR="00A41904" w:rsidRPr="006E4880" w:rsidRDefault="00A41904" w:rsidP="00A41904">
      <w:pPr>
        <w:rPr>
          <w:i/>
          <w:iCs/>
          <w:szCs w:val="22"/>
          <w:lang w:val="fr-BE"/>
        </w:rPr>
      </w:pPr>
    </w:p>
    <w:p w14:paraId="2EEF1F36" w14:textId="16212EE0" w:rsidR="00A41904" w:rsidRDefault="00A41904" w:rsidP="00A41904">
      <w:pPr>
        <w:rPr>
          <w:i/>
          <w:iCs/>
          <w:szCs w:val="22"/>
          <w:lang w:val="fr-BE"/>
        </w:rPr>
      </w:pPr>
      <w:r w:rsidRPr="006E4880">
        <w:rPr>
          <w:i/>
          <w:iCs/>
          <w:szCs w:val="22"/>
          <w:lang w:val="fr-BE"/>
        </w:rPr>
        <w:t xml:space="preserve">Nom du représentant, Reviseur Agréé </w:t>
      </w:r>
    </w:p>
    <w:p w14:paraId="1210080B" w14:textId="77777777" w:rsidR="00A41904" w:rsidRPr="006E4880" w:rsidRDefault="00A41904" w:rsidP="00A41904">
      <w:pPr>
        <w:rPr>
          <w:i/>
          <w:iCs/>
          <w:szCs w:val="22"/>
          <w:lang w:val="fr-BE"/>
        </w:rPr>
      </w:pPr>
    </w:p>
    <w:p w14:paraId="268D2D91" w14:textId="77777777" w:rsidR="00A41904" w:rsidRPr="006E4880" w:rsidRDefault="00A41904" w:rsidP="00A41904">
      <w:pPr>
        <w:rPr>
          <w:i/>
          <w:iCs/>
          <w:szCs w:val="22"/>
          <w:lang w:val="fr-BE"/>
        </w:rPr>
      </w:pPr>
      <w:r w:rsidRPr="006E4880">
        <w:rPr>
          <w:i/>
          <w:iCs/>
          <w:szCs w:val="22"/>
          <w:lang w:val="fr-BE"/>
        </w:rPr>
        <w:t>Adresse]</w:t>
      </w:r>
    </w:p>
    <w:p w14:paraId="2FEEA9EB" w14:textId="77777777" w:rsidR="001C7FB4" w:rsidRPr="00A41904" w:rsidRDefault="001C7FB4">
      <w:pPr>
        <w:rPr>
          <w:lang w:val="fr-BE"/>
        </w:rPr>
      </w:pPr>
    </w:p>
    <w:sectPr w:rsidR="001C7FB4" w:rsidRPr="00A4190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5EDB" w14:textId="77777777" w:rsidR="009D3753" w:rsidRDefault="009D3753" w:rsidP="00E80257">
      <w:pPr>
        <w:spacing w:line="240" w:lineRule="auto"/>
      </w:pPr>
      <w:r>
        <w:separator/>
      </w:r>
    </w:p>
  </w:endnote>
  <w:endnote w:type="continuationSeparator" w:id="0">
    <w:p w14:paraId="1CA48F8C" w14:textId="77777777" w:rsidR="009D3753" w:rsidRDefault="009D3753" w:rsidP="00E80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D47A" w14:textId="77777777" w:rsidR="004564CE" w:rsidRDefault="00456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119840"/>
      <w:docPartObj>
        <w:docPartGallery w:val="Page Numbers (Bottom of Page)"/>
        <w:docPartUnique/>
      </w:docPartObj>
    </w:sdtPr>
    <w:sdtEndPr/>
    <w:sdtContent>
      <w:sdt>
        <w:sdtPr>
          <w:id w:val="-1769616900"/>
          <w:docPartObj>
            <w:docPartGallery w:val="Page Numbers (Top of Page)"/>
            <w:docPartUnique/>
          </w:docPartObj>
        </w:sdtPr>
        <w:sdtEndPr/>
        <w:sdtContent>
          <w:p w14:paraId="6E7D1FC7" w14:textId="77777777" w:rsidR="004564CE" w:rsidRDefault="004564CE">
            <w:pPr>
              <w:pStyle w:val="Footer"/>
              <w:jc w:val="right"/>
            </w:pPr>
            <w:r w:rsidRPr="004564CE">
              <w:rPr>
                <w:sz w:val="18"/>
                <w:szCs w:val="18"/>
              </w:rPr>
              <w:t xml:space="preserve">Page </w:t>
            </w:r>
            <w:r w:rsidRPr="004564CE">
              <w:rPr>
                <w:b/>
                <w:bCs/>
                <w:sz w:val="18"/>
                <w:szCs w:val="18"/>
              </w:rPr>
              <w:fldChar w:fldCharType="begin"/>
            </w:r>
            <w:r w:rsidRPr="004564CE">
              <w:rPr>
                <w:b/>
                <w:bCs/>
                <w:sz w:val="18"/>
                <w:szCs w:val="18"/>
              </w:rPr>
              <w:instrText xml:space="preserve"> PAGE </w:instrText>
            </w:r>
            <w:r w:rsidRPr="004564CE">
              <w:rPr>
                <w:b/>
                <w:bCs/>
                <w:sz w:val="18"/>
                <w:szCs w:val="18"/>
              </w:rPr>
              <w:fldChar w:fldCharType="separate"/>
            </w:r>
            <w:r w:rsidRPr="004564CE">
              <w:rPr>
                <w:b/>
                <w:bCs/>
                <w:noProof/>
                <w:sz w:val="18"/>
                <w:szCs w:val="18"/>
              </w:rPr>
              <w:t>2</w:t>
            </w:r>
            <w:r w:rsidRPr="004564CE">
              <w:rPr>
                <w:b/>
                <w:bCs/>
                <w:sz w:val="18"/>
                <w:szCs w:val="18"/>
              </w:rPr>
              <w:fldChar w:fldCharType="end"/>
            </w:r>
            <w:r w:rsidRPr="004564CE">
              <w:rPr>
                <w:sz w:val="18"/>
                <w:szCs w:val="18"/>
              </w:rPr>
              <w:t xml:space="preserve"> of </w:t>
            </w:r>
            <w:r w:rsidRPr="004564CE">
              <w:rPr>
                <w:b/>
                <w:bCs/>
                <w:sz w:val="18"/>
                <w:szCs w:val="18"/>
              </w:rPr>
              <w:fldChar w:fldCharType="begin"/>
            </w:r>
            <w:r w:rsidRPr="004564CE">
              <w:rPr>
                <w:b/>
                <w:bCs/>
                <w:sz w:val="18"/>
                <w:szCs w:val="18"/>
              </w:rPr>
              <w:instrText xml:space="preserve"> NUMPAGES  </w:instrText>
            </w:r>
            <w:r w:rsidRPr="004564CE">
              <w:rPr>
                <w:b/>
                <w:bCs/>
                <w:sz w:val="18"/>
                <w:szCs w:val="18"/>
              </w:rPr>
              <w:fldChar w:fldCharType="separate"/>
            </w:r>
            <w:r w:rsidRPr="004564CE">
              <w:rPr>
                <w:b/>
                <w:bCs/>
                <w:noProof/>
                <w:sz w:val="18"/>
                <w:szCs w:val="18"/>
              </w:rPr>
              <w:t>2</w:t>
            </w:r>
            <w:r w:rsidRPr="004564CE">
              <w:rPr>
                <w:b/>
                <w:bCs/>
                <w:sz w:val="18"/>
                <w:szCs w:val="18"/>
              </w:rPr>
              <w:fldChar w:fldCharType="end"/>
            </w:r>
          </w:p>
        </w:sdtContent>
      </w:sdt>
    </w:sdtContent>
  </w:sdt>
  <w:p w14:paraId="51391605" w14:textId="77777777" w:rsidR="004564CE" w:rsidRDefault="00456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785E" w14:textId="77777777" w:rsidR="004564CE" w:rsidRDefault="0045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07C4" w14:textId="77777777" w:rsidR="009D3753" w:rsidRDefault="009D3753" w:rsidP="00E80257">
      <w:pPr>
        <w:spacing w:line="240" w:lineRule="auto"/>
      </w:pPr>
      <w:r>
        <w:separator/>
      </w:r>
    </w:p>
  </w:footnote>
  <w:footnote w:type="continuationSeparator" w:id="0">
    <w:p w14:paraId="7282AEA8" w14:textId="77777777" w:rsidR="009D3753" w:rsidRDefault="009D3753" w:rsidP="00E80257">
      <w:pPr>
        <w:spacing w:line="240" w:lineRule="auto"/>
      </w:pPr>
      <w:r>
        <w:continuationSeparator/>
      </w:r>
    </w:p>
  </w:footnote>
  <w:footnote w:id="1">
    <w:p w14:paraId="416FCE7A" w14:textId="7869F2B4" w:rsidR="00B25B4C" w:rsidRPr="008A66AC" w:rsidRDefault="00B25B4C" w:rsidP="00B25B4C">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D302BA">
        <w:rPr>
          <w:sz w:val="18"/>
          <w:szCs w:val="18"/>
          <w:lang w:val="fr-FR"/>
        </w:rPr>
        <w:t xml:space="preserve"> </w:t>
      </w:r>
      <w:r w:rsidR="00D302BA"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t>
      </w:r>
      <w:r w:rsidRPr="0032351D">
        <w:rPr>
          <w:sz w:val="18"/>
          <w:lang w:val="nl-NL" w:eastAsia="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206C" w14:textId="77777777" w:rsidR="004564CE" w:rsidRDefault="00456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E877" w14:textId="37904354" w:rsidR="004564CE" w:rsidRDefault="00456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D590" w14:textId="77777777" w:rsidR="004564CE" w:rsidRDefault="0045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F5C67"/>
    <w:multiLevelType w:val="hybridMultilevel"/>
    <w:tmpl w:val="6B9822D4"/>
    <w:lvl w:ilvl="0" w:tplc="CF14D292">
      <w:numFmt w:val="bullet"/>
      <w:lvlText w:val="-"/>
      <w:lvlJc w:val="left"/>
      <w:pPr>
        <w:ind w:left="1440" w:hanging="360"/>
      </w:pPr>
      <w:rPr>
        <w:rFonts w:ascii="Times New Roman" w:eastAsia="Times New Roman" w:hAnsi="Times New Roman"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2B202A85"/>
    <w:multiLevelType w:val="hybridMultilevel"/>
    <w:tmpl w:val="F8020A40"/>
    <w:lvl w:ilvl="0" w:tplc="8E4CA472">
      <w:start w:val="1"/>
      <w:numFmt w:val="decimal"/>
      <w:lvlText w:val="%1."/>
      <w:lvlJc w:val="left"/>
      <w:pPr>
        <w:ind w:left="720" w:hanging="360"/>
      </w:pPr>
      <w:rPr>
        <w:rFonts w:ascii="Times New Roman" w:eastAsia="Times New Roman" w:hAnsi="Times New Roman" w:cs="Times New Roman"/>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24134B2"/>
    <w:multiLevelType w:val="hybridMultilevel"/>
    <w:tmpl w:val="12A494FA"/>
    <w:lvl w:ilvl="0" w:tplc="0813000F">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B26B94"/>
    <w:multiLevelType w:val="hybridMultilevel"/>
    <w:tmpl w:val="BA003D86"/>
    <w:lvl w:ilvl="0" w:tplc="FFFFFFFF">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6045610"/>
    <w:multiLevelType w:val="hybridMultilevel"/>
    <w:tmpl w:val="D124C768"/>
    <w:lvl w:ilvl="0" w:tplc="08090001">
      <w:start w:val="1"/>
      <w:numFmt w:val="bullet"/>
      <w:lvlText w:val=""/>
      <w:lvlJc w:val="left"/>
      <w:pPr>
        <w:ind w:left="1140" w:hanging="4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8A4F68"/>
    <w:multiLevelType w:val="hybridMultilevel"/>
    <w:tmpl w:val="03E269F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A0738F3"/>
    <w:multiLevelType w:val="hybridMultilevel"/>
    <w:tmpl w:val="9DD211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BAA6BCC"/>
    <w:multiLevelType w:val="hybridMultilevel"/>
    <w:tmpl w:val="5EC89CE8"/>
    <w:lvl w:ilvl="0" w:tplc="08130005">
      <w:start w:val="1"/>
      <w:numFmt w:val="bullet"/>
      <w:lvlText w:val=""/>
      <w:lvlJc w:val="left"/>
      <w:pPr>
        <w:ind w:left="1140" w:hanging="4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A20B20"/>
    <w:multiLevelType w:val="hybridMultilevel"/>
    <w:tmpl w:val="F4C251A0"/>
    <w:lvl w:ilvl="0" w:tplc="08130005">
      <w:start w:val="1"/>
      <w:numFmt w:val="bullet"/>
      <w:lvlText w:val=""/>
      <w:lvlJc w:val="left"/>
      <w:pPr>
        <w:ind w:left="420" w:hanging="4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3192739">
    <w:abstractNumId w:val="1"/>
  </w:num>
  <w:num w:numId="2" w16cid:durableId="627782368">
    <w:abstractNumId w:val="13"/>
  </w:num>
  <w:num w:numId="3" w16cid:durableId="865102372">
    <w:abstractNumId w:val="10"/>
  </w:num>
  <w:num w:numId="4" w16cid:durableId="1308782380">
    <w:abstractNumId w:val="8"/>
  </w:num>
  <w:num w:numId="5" w16cid:durableId="511992972">
    <w:abstractNumId w:val="3"/>
  </w:num>
  <w:num w:numId="6" w16cid:durableId="726758822">
    <w:abstractNumId w:val="12"/>
  </w:num>
  <w:num w:numId="7" w16cid:durableId="1511331772">
    <w:abstractNumId w:val="14"/>
  </w:num>
  <w:num w:numId="8" w16cid:durableId="1177158373">
    <w:abstractNumId w:val="11"/>
  </w:num>
  <w:num w:numId="9" w16cid:durableId="592669161">
    <w:abstractNumId w:val="0"/>
  </w:num>
  <w:num w:numId="10" w16cid:durableId="299919525">
    <w:abstractNumId w:val="6"/>
  </w:num>
  <w:num w:numId="11" w16cid:durableId="505294024">
    <w:abstractNumId w:val="5"/>
  </w:num>
  <w:num w:numId="12" w16cid:durableId="1698577498">
    <w:abstractNumId w:val="9"/>
  </w:num>
  <w:num w:numId="13" w16cid:durableId="1237932193">
    <w:abstractNumId w:val="16"/>
  </w:num>
  <w:num w:numId="14" w16cid:durableId="1136071324">
    <w:abstractNumId w:val="17"/>
  </w:num>
  <w:num w:numId="15" w16cid:durableId="513570276">
    <w:abstractNumId w:val="15"/>
  </w:num>
  <w:num w:numId="16" w16cid:durableId="194271148">
    <w:abstractNumId w:val="18"/>
  </w:num>
  <w:num w:numId="17" w16cid:durableId="486361490">
    <w:abstractNumId w:val="4"/>
  </w:num>
  <w:num w:numId="18" w16cid:durableId="965282810">
    <w:abstractNumId w:val="2"/>
  </w:num>
  <w:num w:numId="19" w16cid:durableId="820317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57"/>
    <w:rsid w:val="00000E35"/>
    <w:rsid w:val="0001355A"/>
    <w:rsid w:val="00015ED7"/>
    <w:rsid w:val="00020AE5"/>
    <w:rsid w:val="00025CE3"/>
    <w:rsid w:val="0002794B"/>
    <w:rsid w:val="00036B86"/>
    <w:rsid w:val="000411C3"/>
    <w:rsid w:val="00057303"/>
    <w:rsid w:val="00060816"/>
    <w:rsid w:val="000630EC"/>
    <w:rsid w:val="000642B5"/>
    <w:rsid w:val="00070A1E"/>
    <w:rsid w:val="00072011"/>
    <w:rsid w:val="000760E1"/>
    <w:rsid w:val="00082474"/>
    <w:rsid w:val="00086B23"/>
    <w:rsid w:val="000B0EEB"/>
    <w:rsid w:val="000D12A8"/>
    <w:rsid w:val="000E0E81"/>
    <w:rsid w:val="000F1520"/>
    <w:rsid w:val="000F746B"/>
    <w:rsid w:val="000F7A78"/>
    <w:rsid w:val="0010274D"/>
    <w:rsid w:val="00102F2B"/>
    <w:rsid w:val="001071F8"/>
    <w:rsid w:val="001107EC"/>
    <w:rsid w:val="001134BE"/>
    <w:rsid w:val="00121304"/>
    <w:rsid w:val="001251BC"/>
    <w:rsid w:val="00127ABF"/>
    <w:rsid w:val="00127EEE"/>
    <w:rsid w:val="00133CE3"/>
    <w:rsid w:val="00136B2C"/>
    <w:rsid w:val="00136B78"/>
    <w:rsid w:val="001419D7"/>
    <w:rsid w:val="001611D0"/>
    <w:rsid w:val="00165E22"/>
    <w:rsid w:val="001704AD"/>
    <w:rsid w:val="001745F1"/>
    <w:rsid w:val="00175269"/>
    <w:rsid w:val="001825F2"/>
    <w:rsid w:val="001A1466"/>
    <w:rsid w:val="001A28A8"/>
    <w:rsid w:val="001A62FA"/>
    <w:rsid w:val="001B045E"/>
    <w:rsid w:val="001C7FB4"/>
    <w:rsid w:val="001D1232"/>
    <w:rsid w:val="001D4103"/>
    <w:rsid w:val="001E1308"/>
    <w:rsid w:val="001E23D0"/>
    <w:rsid w:val="001F29ED"/>
    <w:rsid w:val="001F5648"/>
    <w:rsid w:val="0020064C"/>
    <w:rsid w:val="0020627B"/>
    <w:rsid w:val="002138AF"/>
    <w:rsid w:val="00215DE5"/>
    <w:rsid w:val="002240EF"/>
    <w:rsid w:val="00237942"/>
    <w:rsid w:val="002423D7"/>
    <w:rsid w:val="002527ED"/>
    <w:rsid w:val="00253BFB"/>
    <w:rsid w:val="00263460"/>
    <w:rsid w:val="002644F9"/>
    <w:rsid w:val="00272B6D"/>
    <w:rsid w:val="002748C3"/>
    <w:rsid w:val="0029153F"/>
    <w:rsid w:val="0029202C"/>
    <w:rsid w:val="00292B7B"/>
    <w:rsid w:val="002B2F79"/>
    <w:rsid w:val="002C433E"/>
    <w:rsid w:val="002D0341"/>
    <w:rsid w:val="002E0DB1"/>
    <w:rsid w:val="002F2F3D"/>
    <w:rsid w:val="002F3C2C"/>
    <w:rsid w:val="002F48B9"/>
    <w:rsid w:val="00303C3C"/>
    <w:rsid w:val="00305F15"/>
    <w:rsid w:val="00310403"/>
    <w:rsid w:val="0031288E"/>
    <w:rsid w:val="00324A10"/>
    <w:rsid w:val="00327FC1"/>
    <w:rsid w:val="00332144"/>
    <w:rsid w:val="0034265F"/>
    <w:rsid w:val="00342D25"/>
    <w:rsid w:val="00361DC6"/>
    <w:rsid w:val="0038274E"/>
    <w:rsid w:val="00383F1F"/>
    <w:rsid w:val="0038681E"/>
    <w:rsid w:val="003877C8"/>
    <w:rsid w:val="00392F2E"/>
    <w:rsid w:val="00394548"/>
    <w:rsid w:val="003A1C8F"/>
    <w:rsid w:val="003B204B"/>
    <w:rsid w:val="003B66B8"/>
    <w:rsid w:val="003C1C0A"/>
    <w:rsid w:val="003C3281"/>
    <w:rsid w:val="003C5669"/>
    <w:rsid w:val="003E6EA4"/>
    <w:rsid w:val="003E78D0"/>
    <w:rsid w:val="004039EB"/>
    <w:rsid w:val="00405098"/>
    <w:rsid w:val="00405C88"/>
    <w:rsid w:val="00405DB8"/>
    <w:rsid w:val="0041139A"/>
    <w:rsid w:val="0042254B"/>
    <w:rsid w:val="00425EA5"/>
    <w:rsid w:val="00426E9B"/>
    <w:rsid w:val="00432554"/>
    <w:rsid w:val="00434572"/>
    <w:rsid w:val="00435493"/>
    <w:rsid w:val="004564CE"/>
    <w:rsid w:val="004730F9"/>
    <w:rsid w:val="00487758"/>
    <w:rsid w:val="0049726A"/>
    <w:rsid w:val="004A28DF"/>
    <w:rsid w:val="004A71C0"/>
    <w:rsid w:val="004B6391"/>
    <w:rsid w:val="004B7138"/>
    <w:rsid w:val="004C1405"/>
    <w:rsid w:val="004C4A0D"/>
    <w:rsid w:val="004D656C"/>
    <w:rsid w:val="004F75A8"/>
    <w:rsid w:val="00513E0F"/>
    <w:rsid w:val="00520D88"/>
    <w:rsid w:val="00525C28"/>
    <w:rsid w:val="00531AD8"/>
    <w:rsid w:val="00533E6B"/>
    <w:rsid w:val="00533F14"/>
    <w:rsid w:val="00536DE4"/>
    <w:rsid w:val="005406D5"/>
    <w:rsid w:val="00542B60"/>
    <w:rsid w:val="00551F21"/>
    <w:rsid w:val="00557103"/>
    <w:rsid w:val="00557449"/>
    <w:rsid w:val="00571918"/>
    <w:rsid w:val="00572C0E"/>
    <w:rsid w:val="00583FDE"/>
    <w:rsid w:val="005944B5"/>
    <w:rsid w:val="005B0893"/>
    <w:rsid w:val="005B7C04"/>
    <w:rsid w:val="005C4FF4"/>
    <w:rsid w:val="005D0492"/>
    <w:rsid w:val="005D4715"/>
    <w:rsid w:val="005E30F3"/>
    <w:rsid w:val="005F2107"/>
    <w:rsid w:val="006013D4"/>
    <w:rsid w:val="006031E8"/>
    <w:rsid w:val="00630C6C"/>
    <w:rsid w:val="00631B1B"/>
    <w:rsid w:val="00631C4A"/>
    <w:rsid w:val="00641076"/>
    <w:rsid w:val="006416E4"/>
    <w:rsid w:val="0064683F"/>
    <w:rsid w:val="00654B24"/>
    <w:rsid w:val="00655BF1"/>
    <w:rsid w:val="00655D7D"/>
    <w:rsid w:val="00660383"/>
    <w:rsid w:val="0066685B"/>
    <w:rsid w:val="00666FDE"/>
    <w:rsid w:val="00670431"/>
    <w:rsid w:val="0067461D"/>
    <w:rsid w:val="00675217"/>
    <w:rsid w:val="006808B1"/>
    <w:rsid w:val="00690D78"/>
    <w:rsid w:val="006965BE"/>
    <w:rsid w:val="006968DF"/>
    <w:rsid w:val="00697BE9"/>
    <w:rsid w:val="006A0E44"/>
    <w:rsid w:val="006A5F91"/>
    <w:rsid w:val="006B2D63"/>
    <w:rsid w:val="006B3056"/>
    <w:rsid w:val="006B3E78"/>
    <w:rsid w:val="006B5E3A"/>
    <w:rsid w:val="006C244E"/>
    <w:rsid w:val="006D2000"/>
    <w:rsid w:val="006D7C0B"/>
    <w:rsid w:val="006E7B36"/>
    <w:rsid w:val="00700626"/>
    <w:rsid w:val="00711618"/>
    <w:rsid w:val="00715CE2"/>
    <w:rsid w:val="0071744A"/>
    <w:rsid w:val="00724182"/>
    <w:rsid w:val="00745240"/>
    <w:rsid w:val="00753F96"/>
    <w:rsid w:val="00757BBA"/>
    <w:rsid w:val="00761DC1"/>
    <w:rsid w:val="007637FA"/>
    <w:rsid w:val="007647AA"/>
    <w:rsid w:val="00777B9E"/>
    <w:rsid w:val="00780E19"/>
    <w:rsid w:val="00797EA7"/>
    <w:rsid w:val="007B27AE"/>
    <w:rsid w:val="007B604A"/>
    <w:rsid w:val="007C033F"/>
    <w:rsid w:val="007C7045"/>
    <w:rsid w:val="007D026E"/>
    <w:rsid w:val="007D0C02"/>
    <w:rsid w:val="007E2EBA"/>
    <w:rsid w:val="007F63DB"/>
    <w:rsid w:val="008023DA"/>
    <w:rsid w:val="00811013"/>
    <w:rsid w:val="008111ED"/>
    <w:rsid w:val="00820BB1"/>
    <w:rsid w:val="008247C3"/>
    <w:rsid w:val="00835D1A"/>
    <w:rsid w:val="00836D24"/>
    <w:rsid w:val="00850609"/>
    <w:rsid w:val="00854958"/>
    <w:rsid w:val="00855668"/>
    <w:rsid w:val="00863ED2"/>
    <w:rsid w:val="00864D90"/>
    <w:rsid w:val="00893B80"/>
    <w:rsid w:val="008A1809"/>
    <w:rsid w:val="008C3F21"/>
    <w:rsid w:val="008C4D25"/>
    <w:rsid w:val="008D60CD"/>
    <w:rsid w:val="008E6E94"/>
    <w:rsid w:val="008F2FB6"/>
    <w:rsid w:val="008F4537"/>
    <w:rsid w:val="00907D22"/>
    <w:rsid w:val="009114C7"/>
    <w:rsid w:val="00913F7D"/>
    <w:rsid w:val="00922B58"/>
    <w:rsid w:val="00923A04"/>
    <w:rsid w:val="00926AED"/>
    <w:rsid w:val="00931EE9"/>
    <w:rsid w:val="00951554"/>
    <w:rsid w:val="0095403E"/>
    <w:rsid w:val="00954643"/>
    <w:rsid w:val="00965AED"/>
    <w:rsid w:val="00967884"/>
    <w:rsid w:val="00972A31"/>
    <w:rsid w:val="0097572B"/>
    <w:rsid w:val="00982361"/>
    <w:rsid w:val="009A5474"/>
    <w:rsid w:val="009B1421"/>
    <w:rsid w:val="009B1A07"/>
    <w:rsid w:val="009B42E7"/>
    <w:rsid w:val="009B7FBD"/>
    <w:rsid w:val="009C0CFA"/>
    <w:rsid w:val="009C219A"/>
    <w:rsid w:val="009C2C56"/>
    <w:rsid w:val="009D3753"/>
    <w:rsid w:val="009D6F4E"/>
    <w:rsid w:val="009E7D60"/>
    <w:rsid w:val="009F2B4C"/>
    <w:rsid w:val="00A206DA"/>
    <w:rsid w:val="00A2770E"/>
    <w:rsid w:val="00A27F28"/>
    <w:rsid w:val="00A33FCD"/>
    <w:rsid w:val="00A41904"/>
    <w:rsid w:val="00A4201C"/>
    <w:rsid w:val="00A42F46"/>
    <w:rsid w:val="00A73BFC"/>
    <w:rsid w:val="00A77F0D"/>
    <w:rsid w:val="00A847DB"/>
    <w:rsid w:val="00A94973"/>
    <w:rsid w:val="00A97F08"/>
    <w:rsid w:val="00AD15BA"/>
    <w:rsid w:val="00AE0AA1"/>
    <w:rsid w:val="00AF0530"/>
    <w:rsid w:val="00AF5935"/>
    <w:rsid w:val="00AF6C65"/>
    <w:rsid w:val="00B04B23"/>
    <w:rsid w:val="00B13FAA"/>
    <w:rsid w:val="00B25B4C"/>
    <w:rsid w:val="00B30878"/>
    <w:rsid w:val="00B32FCF"/>
    <w:rsid w:val="00B3312A"/>
    <w:rsid w:val="00B5112E"/>
    <w:rsid w:val="00B5692D"/>
    <w:rsid w:val="00B605E2"/>
    <w:rsid w:val="00B62C78"/>
    <w:rsid w:val="00B7088B"/>
    <w:rsid w:val="00B73856"/>
    <w:rsid w:val="00B766E2"/>
    <w:rsid w:val="00B85445"/>
    <w:rsid w:val="00BA0D7A"/>
    <w:rsid w:val="00BA429B"/>
    <w:rsid w:val="00BB20F1"/>
    <w:rsid w:val="00BB53F9"/>
    <w:rsid w:val="00BC5204"/>
    <w:rsid w:val="00BD1DD4"/>
    <w:rsid w:val="00BD2CD1"/>
    <w:rsid w:val="00BD30CA"/>
    <w:rsid w:val="00BD3771"/>
    <w:rsid w:val="00BD5B08"/>
    <w:rsid w:val="00BE4C8F"/>
    <w:rsid w:val="00BE5FBF"/>
    <w:rsid w:val="00BF1C9D"/>
    <w:rsid w:val="00BF1D06"/>
    <w:rsid w:val="00BF2039"/>
    <w:rsid w:val="00C01E0A"/>
    <w:rsid w:val="00C01EDD"/>
    <w:rsid w:val="00C04EFB"/>
    <w:rsid w:val="00C10A2C"/>
    <w:rsid w:val="00C12900"/>
    <w:rsid w:val="00C30CD3"/>
    <w:rsid w:val="00C37629"/>
    <w:rsid w:val="00C44706"/>
    <w:rsid w:val="00C644A3"/>
    <w:rsid w:val="00C66E92"/>
    <w:rsid w:val="00C76484"/>
    <w:rsid w:val="00C81E5D"/>
    <w:rsid w:val="00C82F20"/>
    <w:rsid w:val="00C95106"/>
    <w:rsid w:val="00CB100E"/>
    <w:rsid w:val="00CB7147"/>
    <w:rsid w:val="00CD6880"/>
    <w:rsid w:val="00CE3B22"/>
    <w:rsid w:val="00CE7B65"/>
    <w:rsid w:val="00CF083B"/>
    <w:rsid w:val="00CF224D"/>
    <w:rsid w:val="00CF351C"/>
    <w:rsid w:val="00D03F30"/>
    <w:rsid w:val="00D067BB"/>
    <w:rsid w:val="00D06EE4"/>
    <w:rsid w:val="00D07FC7"/>
    <w:rsid w:val="00D125EB"/>
    <w:rsid w:val="00D14FBB"/>
    <w:rsid w:val="00D15C8F"/>
    <w:rsid w:val="00D302BA"/>
    <w:rsid w:val="00D32100"/>
    <w:rsid w:val="00D3524B"/>
    <w:rsid w:val="00D377D2"/>
    <w:rsid w:val="00D4477D"/>
    <w:rsid w:val="00D57B82"/>
    <w:rsid w:val="00D655BC"/>
    <w:rsid w:val="00D66A40"/>
    <w:rsid w:val="00D73A4E"/>
    <w:rsid w:val="00D801DD"/>
    <w:rsid w:val="00D83CF8"/>
    <w:rsid w:val="00D92A02"/>
    <w:rsid w:val="00D94E13"/>
    <w:rsid w:val="00DA5B26"/>
    <w:rsid w:val="00DB599E"/>
    <w:rsid w:val="00DC5DC0"/>
    <w:rsid w:val="00DD2C8C"/>
    <w:rsid w:val="00DE0A24"/>
    <w:rsid w:val="00DE4412"/>
    <w:rsid w:val="00DE6B70"/>
    <w:rsid w:val="00DF0003"/>
    <w:rsid w:val="00E148CE"/>
    <w:rsid w:val="00E154D6"/>
    <w:rsid w:val="00E15CDE"/>
    <w:rsid w:val="00E2322D"/>
    <w:rsid w:val="00E335AF"/>
    <w:rsid w:val="00E35D17"/>
    <w:rsid w:val="00E370F3"/>
    <w:rsid w:val="00E4181F"/>
    <w:rsid w:val="00E432A2"/>
    <w:rsid w:val="00E4344D"/>
    <w:rsid w:val="00E46ECD"/>
    <w:rsid w:val="00E52D11"/>
    <w:rsid w:val="00E62692"/>
    <w:rsid w:val="00E7080D"/>
    <w:rsid w:val="00E74B87"/>
    <w:rsid w:val="00E75091"/>
    <w:rsid w:val="00E7678D"/>
    <w:rsid w:val="00E767A1"/>
    <w:rsid w:val="00E80257"/>
    <w:rsid w:val="00E83FE4"/>
    <w:rsid w:val="00E94EB9"/>
    <w:rsid w:val="00E96A73"/>
    <w:rsid w:val="00E97943"/>
    <w:rsid w:val="00EC423C"/>
    <w:rsid w:val="00EF35F8"/>
    <w:rsid w:val="00F06856"/>
    <w:rsid w:val="00F07681"/>
    <w:rsid w:val="00F15759"/>
    <w:rsid w:val="00F4462D"/>
    <w:rsid w:val="00F548AC"/>
    <w:rsid w:val="00F555A4"/>
    <w:rsid w:val="00F57D9C"/>
    <w:rsid w:val="00F66004"/>
    <w:rsid w:val="00F850E0"/>
    <w:rsid w:val="00F8542E"/>
    <w:rsid w:val="00F9406E"/>
    <w:rsid w:val="00F94EAE"/>
    <w:rsid w:val="00F95869"/>
    <w:rsid w:val="00FA3BF6"/>
    <w:rsid w:val="00FA4F07"/>
    <w:rsid w:val="00FA6975"/>
    <w:rsid w:val="00FB3799"/>
    <w:rsid w:val="00FB6D45"/>
    <w:rsid w:val="00FD0E79"/>
    <w:rsid w:val="00FD6325"/>
    <w:rsid w:val="00FD7752"/>
    <w:rsid w:val="00FE55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7C496A"/>
  <w15:chartTrackingRefBased/>
  <w15:docId w15:val="{9EBD58BC-07B1-446C-A453-0C20BF8D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57"/>
    <w:pPr>
      <w:spacing w:after="0" w:line="260" w:lineRule="atLeast"/>
    </w:pPr>
    <w:rPr>
      <w:rFonts w:ascii="Times New Roman" w:eastAsia="Times New Roman" w:hAnsi="Times New Roman" w:cs="Times New Roman"/>
      <w:szCs w:val="20"/>
      <w:lang w:val="en-US"/>
    </w:rPr>
  </w:style>
  <w:style w:type="paragraph" w:styleId="Heading1">
    <w:name w:val="heading 1"/>
    <w:basedOn w:val="Heading2"/>
    <w:next w:val="BodyText"/>
    <w:link w:val="Heading1Char"/>
    <w:uiPriority w:val="99"/>
    <w:qFormat/>
    <w:rsid w:val="00E80257"/>
    <w:pPr>
      <w:numPr>
        <w:ilvl w:val="0"/>
      </w:numPr>
      <w:spacing w:line="360" w:lineRule="exact"/>
      <w:outlineLvl w:val="0"/>
    </w:pPr>
  </w:style>
  <w:style w:type="paragraph" w:styleId="Heading2">
    <w:name w:val="heading 2"/>
    <w:basedOn w:val="BodyText"/>
    <w:next w:val="BodyText"/>
    <w:link w:val="Heading2Char"/>
    <w:uiPriority w:val="99"/>
    <w:qFormat/>
    <w:rsid w:val="00E80257"/>
    <w:pPr>
      <w:keepNext/>
      <w:numPr>
        <w:ilvl w:val="1"/>
        <w:numId w:val="3"/>
      </w:numPr>
      <w:spacing w:before="130" w:after="130" w:line="320" w:lineRule="exact"/>
      <w:outlineLvl w:val="1"/>
    </w:pPr>
    <w:rPr>
      <w:rFonts w:ascii="Arial" w:hAnsi="Arial"/>
      <w:b/>
      <w:lang w:val="nl-BE"/>
    </w:rPr>
  </w:style>
  <w:style w:type="paragraph" w:styleId="Heading3">
    <w:name w:val="heading 3"/>
    <w:basedOn w:val="Heading4"/>
    <w:next w:val="BodyText"/>
    <w:link w:val="Heading3Char"/>
    <w:uiPriority w:val="99"/>
    <w:qFormat/>
    <w:rsid w:val="00E80257"/>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E80257"/>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E80257"/>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E80257"/>
    <w:pPr>
      <w:numPr>
        <w:ilvl w:val="5"/>
        <w:numId w:val="3"/>
      </w:numPr>
      <w:spacing w:line="240" w:lineRule="auto"/>
      <w:outlineLvl w:val="5"/>
    </w:pPr>
    <w:rPr>
      <w:lang w:val="nl-BE"/>
    </w:rPr>
  </w:style>
  <w:style w:type="paragraph" w:styleId="Heading7">
    <w:name w:val="heading 7"/>
    <w:basedOn w:val="Normal"/>
    <w:next w:val="Normal"/>
    <w:link w:val="Heading7Char"/>
    <w:uiPriority w:val="99"/>
    <w:qFormat/>
    <w:rsid w:val="00E80257"/>
    <w:pPr>
      <w:numPr>
        <w:ilvl w:val="6"/>
        <w:numId w:val="3"/>
      </w:numPr>
      <w:spacing w:line="240" w:lineRule="auto"/>
      <w:outlineLvl w:val="6"/>
    </w:pPr>
    <w:rPr>
      <w:lang w:val="nl-BE"/>
    </w:rPr>
  </w:style>
  <w:style w:type="paragraph" w:styleId="Heading8">
    <w:name w:val="heading 8"/>
    <w:basedOn w:val="Normal"/>
    <w:next w:val="Normal"/>
    <w:link w:val="Heading8Char"/>
    <w:uiPriority w:val="99"/>
    <w:qFormat/>
    <w:rsid w:val="00E80257"/>
    <w:pPr>
      <w:numPr>
        <w:ilvl w:val="7"/>
        <w:numId w:val="3"/>
      </w:numPr>
      <w:spacing w:line="240" w:lineRule="auto"/>
      <w:outlineLvl w:val="7"/>
    </w:pPr>
    <w:rPr>
      <w:lang w:val="nl-BE"/>
    </w:rPr>
  </w:style>
  <w:style w:type="paragraph" w:styleId="Heading9">
    <w:name w:val="heading 9"/>
    <w:basedOn w:val="Normal"/>
    <w:next w:val="Normal"/>
    <w:link w:val="Heading9Char"/>
    <w:uiPriority w:val="99"/>
    <w:qFormat/>
    <w:rsid w:val="00E80257"/>
    <w:pPr>
      <w:numPr>
        <w:ilvl w:val="8"/>
        <w:numId w:val="3"/>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0257"/>
    <w:rPr>
      <w:rFonts w:ascii="Arial" w:eastAsia="Times New Roman" w:hAnsi="Arial" w:cs="Times New Roman"/>
      <w:b/>
      <w:szCs w:val="20"/>
    </w:rPr>
  </w:style>
  <w:style w:type="character" w:customStyle="1" w:styleId="Heading2Char">
    <w:name w:val="Heading 2 Char"/>
    <w:basedOn w:val="DefaultParagraphFont"/>
    <w:link w:val="Heading2"/>
    <w:uiPriority w:val="99"/>
    <w:rsid w:val="00E80257"/>
    <w:rPr>
      <w:rFonts w:ascii="Arial" w:eastAsia="Times New Roman" w:hAnsi="Arial" w:cs="Times New Roman"/>
      <w:b/>
      <w:szCs w:val="20"/>
    </w:rPr>
  </w:style>
  <w:style w:type="character" w:customStyle="1" w:styleId="Heading3Char">
    <w:name w:val="Heading 3 Char"/>
    <w:basedOn w:val="DefaultParagraphFont"/>
    <w:link w:val="Heading3"/>
    <w:uiPriority w:val="99"/>
    <w:rsid w:val="00E80257"/>
    <w:rPr>
      <w:rFonts w:ascii="Arial" w:eastAsia="Times New Roman" w:hAnsi="Arial" w:cs="Times New Roman"/>
      <w:b/>
      <w:szCs w:val="20"/>
    </w:rPr>
  </w:style>
  <w:style w:type="character" w:customStyle="1" w:styleId="Heading4Char">
    <w:name w:val="Heading 4 Char"/>
    <w:basedOn w:val="DefaultParagraphFont"/>
    <w:link w:val="Heading4"/>
    <w:uiPriority w:val="99"/>
    <w:rsid w:val="00E80257"/>
    <w:rPr>
      <w:rFonts w:ascii="Arial" w:eastAsia="Times New Roman" w:hAnsi="Arial" w:cs="Times New Roman"/>
      <w:b/>
      <w:i/>
      <w:sz w:val="24"/>
      <w:szCs w:val="20"/>
    </w:rPr>
  </w:style>
  <w:style w:type="character" w:customStyle="1" w:styleId="Heading5Char">
    <w:name w:val="Heading 5 Char"/>
    <w:basedOn w:val="DefaultParagraphFont"/>
    <w:link w:val="Heading5"/>
    <w:uiPriority w:val="99"/>
    <w:rsid w:val="00E80257"/>
    <w:rPr>
      <w:rFonts w:ascii="Arial" w:eastAsia="Times New Roman" w:hAnsi="Arial" w:cs="Times New Roman"/>
      <w:i/>
      <w:szCs w:val="20"/>
    </w:rPr>
  </w:style>
  <w:style w:type="character" w:customStyle="1" w:styleId="Heading6Char">
    <w:name w:val="Heading 6 Char"/>
    <w:basedOn w:val="DefaultParagraphFont"/>
    <w:link w:val="Heading6"/>
    <w:uiPriority w:val="99"/>
    <w:rsid w:val="00E80257"/>
    <w:rPr>
      <w:rFonts w:ascii="Times New Roman" w:eastAsia="Times New Roman" w:hAnsi="Times New Roman" w:cs="Times New Roman"/>
      <w:szCs w:val="20"/>
    </w:rPr>
  </w:style>
  <w:style w:type="character" w:customStyle="1" w:styleId="Heading7Char">
    <w:name w:val="Heading 7 Char"/>
    <w:basedOn w:val="DefaultParagraphFont"/>
    <w:link w:val="Heading7"/>
    <w:uiPriority w:val="99"/>
    <w:rsid w:val="00E80257"/>
    <w:rPr>
      <w:rFonts w:ascii="Times New Roman" w:eastAsia="Times New Roman" w:hAnsi="Times New Roman" w:cs="Times New Roman"/>
      <w:szCs w:val="20"/>
    </w:rPr>
  </w:style>
  <w:style w:type="character" w:customStyle="1" w:styleId="Heading8Char">
    <w:name w:val="Heading 8 Char"/>
    <w:basedOn w:val="DefaultParagraphFont"/>
    <w:link w:val="Heading8"/>
    <w:uiPriority w:val="99"/>
    <w:rsid w:val="00E80257"/>
    <w:rPr>
      <w:rFonts w:ascii="Times New Roman" w:eastAsia="Times New Roman" w:hAnsi="Times New Roman" w:cs="Times New Roman"/>
      <w:szCs w:val="20"/>
    </w:rPr>
  </w:style>
  <w:style w:type="character" w:customStyle="1" w:styleId="Heading9Char">
    <w:name w:val="Heading 9 Char"/>
    <w:basedOn w:val="DefaultParagraphFont"/>
    <w:link w:val="Heading9"/>
    <w:uiPriority w:val="99"/>
    <w:rsid w:val="00E80257"/>
    <w:rPr>
      <w:rFonts w:ascii="Times New Roman" w:eastAsia="Times New Roman" w:hAnsi="Times New Roman" w:cs="Times New Roman"/>
      <w:szCs w:val="20"/>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E80257"/>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basedOn w:val="DefaultParagraphFont"/>
    <w:link w:val="FootnoteText"/>
    <w:uiPriority w:val="99"/>
    <w:rsid w:val="00E80257"/>
    <w:rPr>
      <w:rFonts w:ascii="Times New Roman" w:eastAsia="Times New Roman" w:hAnsi="Times New Roman" w:cs="Times New Roman"/>
      <w:sz w:val="18"/>
      <w:szCs w:val="20"/>
      <w:lang w:val="en-US"/>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basedOn w:val="DefaultParagraphFont"/>
    <w:uiPriority w:val="99"/>
    <w:rsid w:val="00E80257"/>
    <w:rPr>
      <w:rFonts w:cs="Times New Roman"/>
      <w:vertAlign w:val="superscript"/>
    </w:rPr>
  </w:style>
  <w:style w:type="paragraph" w:styleId="BodyText">
    <w:name w:val="Body Text"/>
    <w:basedOn w:val="Normal"/>
    <w:link w:val="BodyTextChar"/>
    <w:uiPriority w:val="99"/>
    <w:semiHidden/>
    <w:unhideWhenUsed/>
    <w:rsid w:val="00E80257"/>
    <w:pPr>
      <w:spacing w:after="120"/>
    </w:pPr>
  </w:style>
  <w:style w:type="character" w:customStyle="1" w:styleId="BodyTextChar">
    <w:name w:val="Body Text Char"/>
    <w:basedOn w:val="DefaultParagraphFont"/>
    <w:link w:val="BodyText"/>
    <w:uiPriority w:val="99"/>
    <w:semiHidden/>
    <w:rsid w:val="00E80257"/>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E802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57"/>
    <w:rPr>
      <w:rFonts w:ascii="Segoe UI" w:eastAsia="Times New Roman" w:hAnsi="Segoe UI" w:cs="Segoe UI"/>
      <w:sz w:val="18"/>
      <w:szCs w:val="18"/>
      <w:lang w:val="en-US"/>
    </w:rPr>
  </w:style>
  <w:style w:type="paragraph" w:styleId="ListParagraph">
    <w:name w:val="List Paragraph"/>
    <w:basedOn w:val="Normal"/>
    <w:link w:val="ListParagraphChar"/>
    <w:uiPriority w:val="34"/>
    <w:qFormat/>
    <w:rsid w:val="00697BE9"/>
    <w:pPr>
      <w:ind w:left="708"/>
    </w:pPr>
  </w:style>
  <w:style w:type="character" w:customStyle="1" w:styleId="ListParagraphChar">
    <w:name w:val="List Paragraph Char"/>
    <w:link w:val="ListParagraph"/>
    <w:uiPriority w:val="34"/>
    <w:rsid w:val="00697BE9"/>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4564CE"/>
    <w:pPr>
      <w:tabs>
        <w:tab w:val="center" w:pos="4536"/>
        <w:tab w:val="right" w:pos="9072"/>
      </w:tabs>
      <w:spacing w:line="240" w:lineRule="auto"/>
    </w:pPr>
  </w:style>
  <w:style w:type="character" w:customStyle="1" w:styleId="HeaderChar">
    <w:name w:val="Header Char"/>
    <w:basedOn w:val="DefaultParagraphFont"/>
    <w:link w:val="Header"/>
    <w:uiPriority w:val="99"/>
    <w:rsid w:val="004564CE"/>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4564CE"/>
    <w:pPr>
      <w:tabs>
        <w:tab w:val="center" w:pos="4536"/>
        <w:tab w:val="right" w:pos="9072"/>
      </w:tabs>
      <w:spacing w:line="240" w:lineRule="auto"/>
    </w:pPr>
  </w:style>
  <w:style w:type="character" w:customStyle="1" w:styleId="FooterChar">
    <w:name w:val="Footer Char"/>
    <w:basedOn w:val="DefaultParagraphFont"/>
    <w:link w:val="Footer"/>
    <w:uiPriority w:val="99"/>
    <w:rsid w:val="004564CE"/>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405DB8"/>
    <w:rPr>
      <w:sz w:val="16"/>
      <w:szCs w:val="16"/>
    </w:rPr>
  </w:style>
  <w:style w:type="paragraph" w:styleId="CommentText">
    <w:name w:val="annotation text"/>
    <w:basedOn w:val="Normal"/>
    <w:link w:val="CommentTextChar"/>
    <w:uiPriority w:val="99"/>
    <w:semiHidden/>
    <w:unhideWhenUsed/>
    <w:rsid w:val="00405DB8"/>
    <w:pPr>
      <w:spacing w:line="240" w:lineRule="auto"/>
    </w:pPr>
    <w:rPr>
      <w:sz w:val="20"/>
    </w:rPr>
  </w:style>
  <w:style w:type="character" w:customStyle="1" w:styleId="CommentTextChar">
    <w:name w:val="Comment Text Char"/>
    <w:basedOn w:val="DefaultParagraphFont"/>
    <w:link w:val="CommentText"/>
    <w:uiPriority w:val="99"/>
    <w:semiHidden/>
    <w:rsid w:val="00405DB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05DB8"/>
    <w:rPr>
      <w:b/>
      <w:bCs/>
    </w:rPr>
  </w:style>
  <w:style w:type="character" w:customStyle="1" w:styleId="CommentSubjectChar">
    <w:name w:val="Comment Subject Char"/>
    <w:basedOn w:val="CommentTextChar"/>
    <w:link w:val="CommentSubject"/>
    <w:uiPriority w:val="99"/>
    <w:semiHidden/>
    <w:rsid w:val="00405DB8"/>
    <w:rPr>
      <w:rFonts w:ascii="Times New Roman" w:eastAsia="Times New Roman" w:hAnsi="Times New Roman" w:cs="Times New Roman"/>
      <w:b/>
      <w:bCs/>
      <w:sz w:val="20"/>
      <w:szCs w:val="20"/>
      <w:lang w:val="en-US"/>
    </w:rPr>
  </w:style>
  <w:style w:type="paragraph" w:styleId="Revision">
    <w:name w:val="Revision"/>
    <w:hidden/>
    <w:uiPriority w:val="99"/>
    <w:semiHidden/>
    <w:rsid w:val="00082474"/>
    <w:pPr>
      <w:spacing w:after="0" w:line="240" w:lineRule="auto"/>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eate a new document." ma:contentTypeScope="" ma:versionID="bd9e09de803e8561fea495414343f6c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e3ddfb716f0a08eca55f4fdb8fa32a08"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F32A-75EF-4C05-B8D4-AC2CA0325DC6}">
  <ds:schemaRefs>
    <ds:schemaRef ds:uri="http://schemas.microsoft.com/office/2006/metadata/properties"/>
    <ds:schemaRef ds:uri="http://schemas.microsoft.com/office/infopath/2007/PartnerControls"/>
    <ds:schemaRef ds:uri="86d8d313-957f-44b4-bb66-f96f0d40e904"/>
  </ds:schemaRefs>
</ds:datastoreItem>
</file>

<file path=customXml/itemProps2.xml><?xml version="1.0" encoding="utf-8"?>
<ds:datastoreItem xmlns:ds="http://schemas.openxmlformats.org/officeDocument/2006/customXml" ds:itemID="{2626571F-C5A0-4E56-8CBC-731E927EF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03B62-71AA-43E2-88BA-EDEA66C0B117}">
  <ds:schemaRefs>
    <ds:schemaRef ds:uri="http://schemas.microsoft.com/sharepoint/v3/contenttype/forms"/>
  </ds:schemaRefs>
</ds:datastoreItem>
</file>

<file path=customXml/itemProps4.xml><?xml version="1.0" encoding="utf-8"?>
<ds:datastoreItem xmlns:ds="http://schemas.openxmlformats.org/officeDocument/2006/customXml" ds:itemID="{1D7F2D21-9F69-4F71-8DE6-9F0702A6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2609</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Louckx, Claude</dc:creator>
  <cp:keywords/>
  <dc:description/>
  <cp:lastModifiedBy>Veerle Sablon</cp:lastModifiedBy>
  <cp:revision>6</cp:revision>
  <cp:lastPrinted>2022-03-20T12:13:00Z</cp:lastPrinted>
  <dcterms:created xsi:type="dcterms:W3CDTF">2022-04-26T07:01:00Z</dcterms:created>
  <dcterms:modified xsi:type="dcterms:W3CDTF">2022-04-26T07:09:00Z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ies>
</file>